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609"/>
        <w:tblW w:w="9715" w:type="dxa"/>
        <w:tblLayout w:type="fixed"/>
        <w:tblLook w:val="0600" w:firstRow="0" w:lastRow="0" w:firstColumn="0" w:lastColumn="0" w:noHBand="1" w:noVBand="1"/>
      </w:tblPr>
      <w:tblGrid>
        <w:gridCol w:w="1980"/>
        <w:gridCol w:w="7735"/>
      </w:tblGrid>
      <w:tr w:rsidR="00A312CB" w14:paraId="4F146C21" w14:textId="77777777" w:rsidTr="005928F5">
        <w:tc>
          <w:tcPr>
            <w:tcW w:w="1980" w:type="dxa"/>
            <w:tcBorders>
              <w:right w:val="nil"/>
            </w:tcBorders>
          </w:tcPr>
          <w:p w14:paraId="0A104C43" w14:textId="77777777" w:rsidR="00A312CB" w:rsidRDefault="00A312CB" w:rsidP="00630075">
            <w:pPr>
              <w:widowControl w:val="0"/>
            </w:pPr>
            <w:r w:rsidRPr="00AA08A6">
              <w:rPr>
                <w:noProof/>
                <w:sz w:val="2"/>
                <w:szCs w:val="2"/>
              </w:rPr>
              <w:drawing>
                <wp:inline distT="0" distB="0" distL="0" distR="0" wp14:anchorId="5D84FFBC" wp14:editId="5253AFA7">
                  <wp:extent cx="1256030" cy="1103630"/>
                  <wp:effectExtent l="0" t="0" r="1270" b="1270"/>
                  <wp:docPr id="9930022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6030" cy="1103630"/>
                          </a:xfrm>
                          <a:prstGeom prst="rect">
                            <a:avLst/>
                          </a:prstGeom>
                          <a:noFill/>
                        </pic:spPr>
                      </pic:pic>
                    </a:graphicData>
                  </a:graphic>
                </wp:inline>
              </w:drawing>
            </w:r>
          </w:p>
        </w:tc>
        <w:tc>
          <w:tcPr>
            <w:tcW w:w="7735" w:type="dxa"/>
            <w:tcBorders>
              <w:left w:val="nil"/>
            </w:tcBorders>
          </w:tcPr>
          <w:p w14:paraId="0AB0AE7E" w14:textId="77777777" w:rsidR="00B93265" w:rsidRPr="0059058A" w:rsidRDefault="00B400ED" w:rsidP="0059058A">
            <w:pPr>
              <w:pStyle w:val="Title"/>
              <w:jc w:val="center"/>
              <w:rPr>
                <w:rStyle w:val="Emphasis"/>
                <w:i w:val="0"/>
                <w:iCs w:val="0"/>
              </w:rPr>
            </w:pPr>
            <w:r w:rsidRPr="0059058A">
              <w:rPr>
                <w:rStyle w:val="Emphasis"/>
                <w:i w:val="0"/>
                <w:iCs w:val="0"/>
              </w:rPr>
              <w:t>Swallowcliffe Parish Council</w:t>
            </w:r>
          </w:p>
          <w:p w14:paraId="7727DB49" w14:textId="4D60CE6D" w:rsidR="00630075" w:rsidRPr="00A21A81" w:rsidRDefault="00B93265" w:rsidP="0059058A">
            <w:pPr>
              <w:pStyle w:val="Title"/>
              <w:jc w:val="center"/>
            </w:pPr>
            <w:r w:rsidRPr="00453D82">
              <w:rPr>
                <w:sz w:val="48"/>
                <w:szCs w:val="48"/>
              </w:rPr>
              <w:t xml:space="preserve">Risk </w:t>
            </w:r>
            <w:r w:rsidR="00453D82">
              <w:rPr>
                <w:sz w:val="48"/>
                <w:szCs w:val="48"/>
              </w:rPr>
              <w:t>m</w:t>
            </w:r>
            <w:r w:rsidRPr="00453D82">
              <w:rPr>
                <w:sz w:val="48"/>
                <w:szCs w:val="48"/>
              </w:rPr>
              <w:t xml:space="preserve">anagement </w:t>
            </w:r>
            <w:r w:rsidR="00453D82">
              <w:rPr>
                <w:sz w:val="48"/>
                <w:szCs w:val="48"/>
              </w:rPr>
              <w:t>p</w:t>
            </w:r>
            <w:r w:rsidRPr="00453D82">
              <w:rPr>
                <w:sz w:val="48"/>
                <w:szCs w:val="48"/>
              </w:rPr>
              <w:t>olicy</w:t>
            </w:r>
            <w:r w:rsidR="0059058A" w:rsidRPr="00453D82">
              <w:rPr>
                <w:sz w:val="48"/>
                <w:szCs w:val="48"/>
              </w:rPr>
              <w:br/>
            </w:r>
            <w:r w:rsidRPr="00453D82">
              <w:rPr>
                <w:sz w:val="48"/>
                <w:szCs w:val="48"/>
              </w:rPr>
              <w:t xml:space="preserve">and Risk </w:t>
            </w:r>
            <w:r w:rsidR="00453D82">
              <w:rPr>
                <w:sz w:val="48"/>
                <w:szCs w:val="48"/>
              </w:rPr>
              <w:t>r</w:t>
            </w:r>
            <w:r w:rsidRPr="00453D82">
              <w:rPr>
                <w:sz w:val="48"/>
                <w:szCs w:val="48"/>
              </w:rPr>
              <w:t>egister</w:t>
            </w:r>
          </w:p>
        </w:tc>
      </w:tr>
    </w:tbl>
    <w:p w14:paraId="3C2394C7" w14:textId="5416A291" w:rsidR="00B93265" w:rsidRDefault="00B93265" w:rsidP="00453D82">
      <w:pPr>
        <w:pStyle w:val="Heading"/>
        <w:spacing w:before="240"/>
      </w:pPr>
      <w:r>
        <w:t>Introduction</w:t>
      </w:r>
    </w:p>
    <w:p w14:paraId="3C0F5BE7" w14:textId="77777777" w:rsidR="00B93265" w:rsidRDefault="00B93265" w:rsidP="00B93265">
      <w:r>
        <w:t>Swallowcliffe Parish Council is committed to managing risk in a structured, proportionate, and transparent way. Effective risk management supports good governance, safeguards public funds, protects assets, and ensures continuity of services. This policy sets out the Council’s approach to identifying, assessing, managing, and reviewing risks across all areas of its activity.</w:t>
      </w:r>
    </w:p>
    <w:p w14:paraId="700AB1B7" w14:textId="37E32A56" w:rsidR="009127CE" w:rsidRDefault="009127CE" w:rsidP="00B93265">
      <w:r>
        <w:t>A r</w:t>
      </w:r>
      <w:r w:rsidRPr="009127CE">
        <w:t xml:space="preserve">isk </w:t>
      </w:r>
      <w:r>
        <w:t xml:space="preserve">is </w:t>
      </w:r>
      <w:r w:rsidRPr="009127CE">
        <w:t>an event or action that may adversely affect the Council’s ability to achieve its objectives.</w:t>
      </w:r>
    </w:p>
    <w:p w14:paraId="28533982" w14:textId="4EE63E70" w:rsidR="009127CE" w:rsidRDefault="009127CE" w:rsidP="00B93265">
      <w:r>
        <w:t>This document contains the register of recognised risks and the Council’s policy for managing those risks.</w:t>
      </w:r>
      <w:r w:rsidR="00D340A4">
        <w:t xml:space="preserve"> </w:t>
      </w:r>
      <w:r w:rsidR="00D340A4" w:rsidRPr="00D340A4">
        <w:t xml:space="preserve">Risk management forms part of the evidence base for the </w:t>
      </w:r>
      <w:r w:rsidR="00D340A4">
        <w:t xml:space="preserve">Council’s </w:t>
      </w:r>
      <w:r w:rsidR="00390794">
        <w:t xml:space="preserve">AGAR </w:t>
      </w:r>
      <w:r w:rsidR="00D340A4" w:rsidRPr="00D340A4">
        <w:t>Annual Governance Statement.</w:t>
      </w:r>
    </w:p>
    <w:p w14:paraId="72407758" w14:textId="56F68CB1" w:rsidR="00FD44B4" w:rsidRDefault="006F3230" w:rsidP="00B93265">
      <w:r w:rsidRPr="006F3230">
        <w:t xml:space="preserve">The Risk Register records specific risks within these categories and the controls in place to manage them. </w:t>
      </w:r>
      <w:r>
        <w:t>However, r</w:t>
      </w:r>
      <w:r w:rsidR="00FD44B4">
        <w:t xml:space="preserve">isk cannot be </w:t>
      </w:r>
      <w:r w:rsidR="00A72AFF">
        <w:t>eliminated</w:t>
      </w:r>
      <w:r w:rsidR="00FD44B4">
        <w:t xml:space="preserve">. The Council </w:t>
      </w:r>
      <w:r w:rsidR="00A72AFF">
        <w:t xml:space="preserve">therefore </w:t>
      </w:r>
      <w:r w:rsidR="00FD44B4">
        <w:t xml:space="preserve">has insurance with Zurich Municipal to </w:t>
      </w:r>
      <w:r w:rsidR="00A72AFF">
        <w:t>insure against many of the</w:t>
      </w:r>
      <w:r w:rsidR="00FD44B4">
        <w:t xml:space="preserve"> perils</w:t>
      </w:r>
      <w:r w:rsidR="00A72AFF">
        <w:t xml:space="preserve"> that could causes the risks identified in the Risk Register, as well as for liability of consequential loss.</w:t>
      </w:r>
    </w:p>
    <w:p w14:paraId="4AA61832" w14:textId="589C73B9" w:rsidR="00732F28" w:rsidRPr="00732F28" w:rsidRDefault="009127CE" w:rsidP="00732F28">
      <w:pPr>
        <w:pStyle w:val="Heading"/>
      </w:pPr>
      <w:r>
        <w:t xml:space="preserve">Management </w:t>
      </w:r>
      <w:r w:rsidR="00732F28">
        <w:t>Policy</w:t>
      </w:r>
    </w:p>
    <w:p w14:paraId="2919518A" w14:textId="173F994D" w:rsidR="00732F28" w:rsidRDefault="00732F28" w:rsidP="00732F28">
      <w:r w:rsidRPr="00732F28">
        <w:t xml:space="preserve">This policy is reviewed annually and approved by </w:t>
      </w:r>
      <w:r>
        <w:t xml:space="preserve">the </w:t>
      </w:r>
      <w:r w:rsidRPr="00732F28">
        <w:t>Council.</w:t>
      </w:r>
    </w:p>
    <w:p w14:paraId="1B9E6585" w14:textId="4E1224C4" w:rsidR="00B93265" w:rsidRDefault="00B93265" w:rsidP="00732F28">
      <w:pPr>
        <w:pStyle w:val="Subheading"/>
      </w:pPr>
      <w:r>
        <w:t>Statutory and Governance Framework</w:t>
      </w:r>
    </w:p>
    <w:p w14:paraId="18A34F5C" w14:textId="77777777" w:rsidR="009127CE" w:rsidRDefault="009127CE" w:rsidP="009127CE">
      <w:r w:rsidRPr="009127CE">
        <w:t>The Council recognises its responsibilities under the Accounts and Audit Regulations 2015, which require relevant authorities to maintain a sound system of internal control and to carry out an annual review of the effectiveness of those controls. The Council also follows the principles set out in the Smaller Authorities Proper Practices Panel (SAPP) ‘Practitioners Guide - Governance and accountability for smaller authorities in England’.</w:t>
      </w:r>
    </w:p>
    <w:p w14:paraId="26A962D4" w14:textId="35D71DE9" w:rsidR="00B93265" w:rsidRDefault="00B93265" w:rsidP="00B93265">
      <w:pPr>
        <w:spacing w:after="0"/>
      </w:pPr>
      <w:r>
        <w:t>The Council’s risk management arrangements operate within the following statutory and sector standard framework:</w:t>
      </w:r>
    </w:p>
    <w:p w14:paraId="57D5C134" w14:textId="77777777" w:rsidR="00732F28" w:rsidRDefault="00732F28" w:rsidP="003714D4">
      <w:pPr>
        <w:pStyle w:val="Bullet1"/>
        <w:numPr>
          <w:ilvl w:val="0"/>
          <w:numId w:val="2"/>
        </w:numPr>
        <w:ind w:left="426" w:hanging="284"/>
      </w:pPr>
      <w:r w:rsidRPr="006F1147">
        <w:t>Accounts</w:t>
      </w:r>
      <w:r>
        <w:t xml:space="preserve"> and Audit Regulations 2015 – duties relating to internal control, financial management, and annual review.</w:t>
      </w:r>
    </w:p>
    <w:p w14:paraId="3E61D403" w14:textId="77777777" w:rsidR="00732F28" w:rsidRDefault="00732F28" w:rsidP="006F335A">
      <w:pPr>
        <w:pStyle w:val="Bullet1"/>
        <w:numPr>
          <w:ilvl w:val="0"/>
          <w:numId w:val="2"/>
        </w:numPr>
        <w:ind w:left="426" w:hanging="284"/>
      </w:pPr>
      <w:r>
        <w:t>Local Government Act 1972, Section 151 – requirement to ensure proper administration of financial affairs.</w:t>
      </w:r>
    </w:p>
    <w:p w14:paraId="4A0F550D" w14:textId="77777777" w:rsidR="00732F28" w:rsidRDefault="00732F28" w:rsidP="006F335A">
      <w:pPr>
        <w:pStyle w:val="Bullet1"/>
        <w:numPr>
          <w:ilvl w:val="0"/>
          <w:numId w:val="2"/>
        </w:numPr>
        <w:ind w:left="426" w:hanging="284"/>
      </w:pPr>
      <w:r>
        <w:t>SAPPP Guide sections pertaining to Risk Management.</w:t>
      </w:r>
    </w:p>
    <w:p w14:paraId="493EA505" w14:textId="77777777" w:rsidR="00732F28" w:rsidRDefault="00732F28" w:rsidP="003714D4">
      <w:pPr>
        <w:pStyle w:val="Bullet1"/>
        <w:numPr>
          <w:ilvl w:val="0"/>
          <w:numId w:val="2"/>
        </w:numPr>
        <w:ind w:left="426" w:hanging="284"/>
      </w:pPr>
      <w:r>
        <w:t>Transparency Code for Smaller Authorities – publication requirements supporting accountability.</w:t>
      </w:r>
    </w:p>
    <w:p w14:paraId="3070AF20" w14:textId="6BD7ACDD" w:rsidR="00B93265" w:rsidRDefault="00B93265" w:rsidP="00151CD8">
      <w:pPr>
        <w:pStyle w:val="Subheading"/>
      </w:pPr>
      <w:r>
        <w:t>Scope</w:t>
      </w:r>
    </w:p>
    <w:p w14:paraId="6DFB2A9A" w14:textId="1BAFBF72" w:rsidR="00B93265" w:rsidRDefault="00B93265" w:rsidP="00B93265">
      <w:pPr>
        <w:spacing w:after="0"/>
      </w:pPr>
      <w:r>
        <w:t xml:space="preserve">This policy applies to all areas of Council activity, </w:t>
      </w:r>
      <w:r w:rsidR="006F3230">
        <w:t>categorized as follows</w:t>
      </w:r>
      <w:r>
        <w:t>:</w:t>
      </w:r>
    </w:p>
    <w:p w14:paraId="7FBEFACC" w14:textId="77777777" w:rsidR="00B93265" w:rsidRDefault="00B93265" w:rsidP="006F335A">
      <w:pPr>
        <w:pStyle w:val="Bullet1"/>
      </w:pPr>
      <w:r>
        <w:t>Governance and decision making</w:t>
      </w:r>
    </w:p>
    <w:p w14:paraId="3A5B5B4D" w14:textId="77777777" w:rsidR="00140AA8" w:rsidRDefault="00140AA8" w:rsidP="006F335A">
      <w:pPr>
        <w:pStyle w:val="Bullet1"/>
      </w:pPr>
      <w:r>
        <w:t>Amenity and land.</w:t>
      </w:r>
    </w:p>
    <w:p w14:paraId="5DCA7D3A" w14:textId="77777777" w:rsidR="00140AA8" w:rsidRDefault="00140AA8" w:rsidP="006F335A">
      <w:pPr>
        <w:pStyle w:val="Bullet1"/>
      </w:pPr>
      <w:r>
        <w:t>Business continuity.</w:t>
      </w:r>
    </w:p>
    <w:p w14:paraId="3C32F542" w14:textId="77777777" w:rsidR="00140AA8" w:rsidRDefault="00140AA8" w:rsidP="006F335A">
      <w:pPr>
        <w:pStyle w:val="Bullet1"/>
      </w:pPr>
      <w:r>
        <w:t>Financial management.</w:t>
      </w:r>
    </w:p>
    <w:p w14:paraId="09F7C0FE" w14:textId="77777777" w:rsidR="00140AA8" w:rsidRDefault="00140AA8" w:rsidP="006F335A">
      <w:pPr>
        <w:pStyle w:val="Bullet1"/>
      </w:pPr>
      <w:r>
        <w:lastRenderedPageBreak/>
        <w:t>Governance and legal compliance.</w:t>
      </w:r>
    </w:p>
    <w:p w14:paraId="00B385DA" w14:textId="77777777" w:rsidR="00140AA8" w:rsidRDefault="00140AA8" w:rsidP="006F335A">
      <w:pPr>
        <w:pStyle w:val="Bullet1"/>
      </w:pPr>
      <w:r>
        <w:t>Property &amp; assets</w:t>
      </w:r>
    </w:p>
    <w:p w14:paraId="15318895" w14:textId="44F08CA6" w:rsidR="00151CD8" w:rsidRDefault="00151CD8" w:rsidP="00151CD8">
      <w:pPr>
        <w:pStyle w:val="Subheading"/>
      </w:pPr>
      <w:r>
        <w:t>Process</w:t>
      </w:r>
    </w:p>
    <w:p w14:paraId="28518B7B" w14:textId="77777777" w:rsidR="00151CD8" w:rsidRDefault="00151CD8" w:rsidP="00151CD8">
      <w:pPr>
        <w:keepNext/>
        <w:spacing w:after="0"/>
      </w:pPr>
      <w:r>
        <w:t>The Council follows a seven-stage cycle:</w:t>
      </w:r>
    </w:p>
    <w:p w14:paraId="5B60AEDF" w14:textId="77777777" w:rsidR="00151CD8" w:rsidRDefault="00151CD8" w:rsidP="006F335A">
      <w:pPr>
        <w:pStyle w:val="Numberedlist"/>
      </w:pPr>
      <w:r>
        <w:t>Identify risks across all areas of activity.</w:t>
      </w:r>
    </w:p>
    <w:p w14:paraId="27217BE7" w14:textId="77777777" w:rsidR="00151CD8" w:rsidRDefault="00151CD8" w:rsidP="006F335A">
      <w:pPr>
        <w:pStyle w:val="Numberedlist"/>
      </w:pPr>
      <w:r>
        <w:t xml:space="preserve">Assess </w:t>
      </w:r>
      <w:r w:rsidRPr="006F335A">
        <w:t>likelihood</w:t>
      </w:r>
      <w:r>
        <w:t xml:space="preserve"> and impact.</w:t>
      </w:r>
    </w:p>
    <w:p w14:paraId="4A9B0D0E" w14:textId="4D725B46" w:rsidR="00151CD8" w:rsidRDefault="00151CD8" w:rsidP="006F335A">
      <w:pPr>
        <w:pStyle w:val="Numberedlist"/>
      </w:pPr>
      <w:r>
        <w:t xml:space="preserve">Score using </w:t>
      </w:r>
      <w:r w:rsidR="009127CE">
        <w:t xml:space="preserve">a risk rating </w:t>
      </w:r>
      <w:r>
        <w:t>matrix.</w:t>
      </w:r>
    </w:p>
    <w:p w14:paraId="3950BE82" w14:textId="77777777" w:rsidR="00151CD8" w:rsidRDefault="00151CD8" w:rsidP="006F335A">
      <w:pPr>
        <w:pStyle w:val="Numberedlist"/>
      </w:pPr>
      <w:r>
        <w:t>Mitigate through controls, procedures, or actions.</w:t>
      </w:r>
    </w:p>
    <w:p w14:paraId="69A954B2" w14:textId="77777777" w:rsidR="00151CD8" w:rsidRDefault="00151CD8" w:rsidP="006F335A">
      <w:pPr>
        <w:pStyle w:val="Numberedlist"/>
      </w:pPr>
      <w:r>
        <w:t>Record in the Risk Register.</w:t>
      </w:r>
    </w:p>
    <w:p w14:paraId="202317D8" w14:textId="77777777" w:rsidR="00151CD8" w:rsidRDefault="00151CD8" w:rsidP="006F335A">
      <w:pPr>
        <w:pStyle w:val="Numberedlist"/>
      </w:pPr>
      <w:r>
        <w:t>Monitor throughout the year.</w:t>
      </w:r>
    </w:p>
    <w:p w14:paraId="7D567183" w14:textId="77777777" w:rsidR="00151CD8" w:rsidRDefault="00151CD8" w:rsidP="006F335A">
      <w:pPr>
        <w:pStyle w:val="Numberedlist"/>
      </w:pPr>
      <w:r>
        <w:t>Review formally as part of the annual governance process.</w:t>
      </w:r>
    </w:p>
    <w:p w14:paraId="784DA9B2" w14:textId="77777777" w:rsidR="00151CD8" w:rsidRDefault="00151CD8" w:rsidP="00151CD8">
      <w:r>
        <w:t>This cycle ensures that risk management is embedded in day-to-day operations and decision making.</w:t>
      </w:r>
    </w:p>
    <w:p w14:paraId="341F1EB9" w14:textId="3EC74878" w:rsidR="006F3230" w:rsidRDefault="006F3230" w:rsidP="00151CD8">
      <w:r w:rsidRPr="006F3230">
        <w:t>New risks are added as they arise, and existing risks are updated when controls change.</w:t>
      </w:r>
    </w:p>
    <w:p w14:paraId="13487919" w14:textId="3815D632" w:rsidR="00B93265" w:rsidRDefault="00B93265" w:rsidP="00732F28">
      <w:pPr>
        <w:pStyle w:val="Heading"/>
        <w:keepNext/>
      </w:pPr>
      <w:r>
        <w:t>Risk Management Framework</w:t>
      </w:r>
    </w:p>
    <w:p w14:paraId="5E5A67DB" w14:textId="2BE50712" w:rsidR="00B93265" w:rsidRDefault="00B93265" w:rsidP="00B93265">
      <w:pPr>
        <w:spacing w:after="0"/>
      </w:pPr>
      <w:r>
        <w:t xml:space="preserve">The Council </w:t>
      </w:r>
      <w:r w:rsidR="00151CD8">
        <w:t>applies</w:t>
      </w:r>
      <w:r>
        <w:t xml:space="preserve"> a consistent and proportionate approach to risk management, based on the following principles.</w:t>
      </w:r>
    </w:p>
    <w:p w14:paraId="4C7AB3C0" w14:textId="2D4361D1" w:rsidR="00B93265" w:rsidRPr="00A21A81" w:rsidRDefault="00B93265" w:rsidP="00A21A81">
      <w:pPr>
        <w:pStyle w:val="Subheading"/>
      </w:pPr>
      <w:r w:rsidRPr="00A21A81">
        <w:t>Ownership</w:t>
      </w:r>
    </w:p>
    <w:p w14:paraId="1A4EA5FE" w14:textId="0DB190F2" w:rsidR="00B93265" w:rsidRDefault="00732F28" w:rsidP="00732F28">
      <w:pPr>
        <w:spacing w:after="0"/>
      </w:pPr>
      <w:r>
        <w:t>Ownership ensures accountability for monitoring and mitigation; r</w:t>
      </w:r>
      <w:r w:rsidR="00B93265">
        <w:t>esponsibility for risks is allocated as follows:</w:t>
      </w:r>
    </w:p>
    <w:p w14:paraId="3247EE02" w14:textId="26DA585E" w:rsidR="00732F28" w:rsidRDefault="00732F28" w:rsidP="006F335A">
      <w:pPr>
        <w:pStyle w:val="Bullet1"/>
      </w:pPr>
      <w:r>
        <w:t>Clerk/RFO – operational, financial, and compliance risks.</w:t>
      </w:r>
    </w:p>
    <w:p w14:paraId="0C8297B3" w14:textId="190E4E50" w:rsidR="00732F28" w:rsidRDefault="00732F28" w:rsidP="006F335A">
      <w:pPr>
        <w:pStyle w:val="Bullet1"/>
      </w:pPr>
      <w:r>
        <w:t>Contractors –arising from contracted works and services</w:t>
      </w:r>
      <w:r w:rsidR="006F1147">
        <w:t xml:space="preserve"> (though clerk to oversee)</w:t>
      </w:r>
      <w:r>
        <w:t>.</w:t>
      </w:r>
    </w:p>
    <w:p w14:paraId="090260C2" w14:textId="27BDC918" w:rsidR="00732F28" w:rsidRDefault="00732F28" w:rsidP="006F335A">
      <w:pPr>
        <w:pStyle w:val="Bullet1"/>
      </w:pPr>
      <w:r>
        <w:t>Full Council – strategic, governance, and reputational risks.</w:t>
      </w:r>
    </w:p>
    <w:p w14:paraId="3B46A4D4" w14:textId="202E3541" w:rsidR="00732F28" w:rsidRDefault="00732F28" w:rsidP="006F335A">
      <w:pPr>
        <w:pStyle w:val="Bullet1"/>
      </w:pPr>
      <w:r>
        <w:t>Named Councillor – where specific delegated responsibilities apply.</w:t>
      </w:r>
    </w:p>
    <w:p w14:paraId="5E74ADBA" w14:textId="0CAD0E4A" w:rsidR="00732F28" w:rsidRPr="00A21A81" w:rsidRDefault="009127CE" w:rsidP="00732F28">
      <w:pPr>
        <w:pStyle w:val="Subheading"/>
      </w:pPr>
      <w:r>
        <w:t>Risk rating and scoring</w:t>
      </w:r>
    </w:p>
    <w:p w14:paraId="72EE03EB" w14:textId="0F817E4E" w:rsidR="00732F28" w:rsidRDefault="009127CE" w:rsidP="00B13E61">
      <w:pPr>
        <w:spacing w:after="0"/>
      </w:pPr>
      <w:r>
        <w:t>To rate risks</w:t>
      </w:r>
      <w:r w:rsidR="00B13E61">
        <w:t>,</w:t>
      </w:r>
      <w:r w:rsidR="007D0371">
        <w:t xml:space="preserve"> </w:t>
      </w:r>
      <w:r>
        <w:t>each is assessed under the following two dimensions</w:t>
      </w:r>
      <w:r w:rsidR="00D340A4">
        <w:t xml:space="preserve"> which are given a numeric score and multiplied together to give an overall risk rating</w:t>
      </w:r>
      <w:r w:rsidR="00B13E61">
        <w:t>.</w:t>
      </w:r>
    </w:p>
    <w:tbl>
      <w:tblPr>
        <w:tblStyle w:val="PlainTable1"/>
        <w:tblW w:w="0" w:type="auto"/>
        <w:jc w:val="center"/>
        <w:tblLook w:val="06A0" w:firstRow="1" w:lastRow="0" w:firstColumn="1" w:lastColumn="0" w:noHBand="1" w:noVBand="1"/>
      </w:tblPr>
      <w:tblGrid>
        <w:gridCol w:w="2668"/>
        <w:gridCol w:w="1061"/>
        <w:gridCol w:w="1220"/>
        <w:gridCol w:w="1220"/>
        <w:gridCol w:w="962"/>
      </w:tblGrid>
      <w:tr w:rsidR="00D340A4" w14:paraId="52BBAC11" w14:textId="77777777" w:rsidTr="005B09E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gridSpan w:val="2"/>
            <w:vMerge w:val="restart"/>
          </w:tcPr>
          <w:p w14:paraId="7F4A2F07" w14:textId="77777777" w:rsidR="00D340A4" w:rsidRDefault="00D340A4" w:rsidP="009127CE">
            <w:pPr>
              <w:spacing w:after="0"/>
              <w:jc w:val="center"/>
            </w:pPr>
          </w:p>
        </w:tc>
        <w:tc>
          <w:tcPr>
            <w:tcW w:w="0" w:type="auto"/>
            <w:gridSpan w:val="3"/>
          </w:tcPr>
          <w:p w14:paraId="173A1F02" w14:textId="77777777" w:rsidR="00B13E61" w:rsidRDefault="00D340A4" w:rsidP="009127CE">
            <w:pPr>
              <w:spacing w:after="0"/>
              <w:jc w:val="center"/>
              <w:cnfStyle w:val="100000000000" w:firstRow="1" w:lastRow="0" w:firstColumn="0" w:lastColumn="0" w:oddVBand="0" w:evenVBand="0" w:oddHBand="0" w:evenHBand="0" w:firstRowFirstColumn="0" w:firstRowLastColumn="0" w:lastRowFirstColumn="0" w:lastRowLastColumn="0"/>
              <w:rPr>
                <w:b w:val="0"/>
                <w:bCs w:val="0"/>
              </w:rPr>
            </w:pPr>
            <w:r>
              <w:t>Likelihood</w:t>
            </w:r>
          </w:p>
          <w:p w14:paraId="285151CB" w14:textId="7F3E61C8" w:rsidR="00D340A4" w:rsidRDefault="00190F8D" w:rsidP="009127CE">
            <w:pPr>
              <w:spacing w:after="0"/>
              <w:jc w:val="center"/>
              <w:cnfStyle w:val="100000000000" w:firstRow="1" w:lastRow="0" w:firstColumn="0" w:lastColumn="0" w:oddVBand="0" w:evenVBand="0" w:oddHBand="0" w:evenHBand="0" w:firstRowFirstColumn="0" w:firstRowLastColumn="0" w:lastRowFirstColumn="0" w:lastRowLastColumn="0"/>
            </w:pPr>
            <w:r w:rsidRPr="00190F8D">
              <w:rPr>
                <w:rStyle w:val="SubtleEmphasis"/>
                <w:b w:val="0"/>
                <w:bCs w:val="0"/>
              </w:rPr>
              <w:t>Probability of the risk occurring</w:t>
            </w:r>
          </w:p>
        </w:tc>
      </w:tr>
      <w:tr w:rsidR="00190F8D" w14:paraId="2979B503" w14:textId="77777777" w:rsidTr="005B09EF">
        <w:trPr>
          <w:jc w:val="center"/>
        </w:trPr>
        <w:tc>
          <w:tcPr>
            <w:cnfStyle w:val="001000000000" w:firstRow="0" w:lastRow="0" w:firstColumn="1" w:lastColumn="0" w:oddVBand="0" w:evenVBand="0" w:oddHBand="0" w:evenHBand="0" w:firstRowFirstColumn="0" w:firstRowLastColumn="0" w:lastRowFirstColumn="0" w:lastRowLastColumn="0"/>
            <w:tcW w:w="0" w:type="auto"/>
            <w:gridSpan w:val="2"/>
            <w:vMerge/>
          </w:tcPr>
          <w:p w14:paraId="24677BF5" w14:textId="77777777" w:rsidR="00D340A4" w:rsidRDefault="00D340A4" w:rsidP="009127CE">
            <w:pPr>
              <w:spacing w:after="0"/>
              <w:jc w:val="center"/>
            </w:pPr>
          </w:p>
        </w:tc>
        <w:tc>
          <w:tcPr>
            <w:tcW w:w="0" w:type="auto"/>
          </w:tcPr>
          <w:p w14:paraId="1008862A" w14:textId="29A5382F" w:rsidR="00D340A4" w:rsidRDefault="00D340A4" w:rsidP="009127CE">
            <w:pPr>
              <w:spacing w:after="0"/>
              <w:jc w:val="center"/>
              <w:cnfStyle w:val="000000000000" w:firstRow="0" w:lastRow="0" w:firstColumn="0" w:lastColumn="0" w:oddVBand="0" w:evenVBand="0" w:oddHBand="0" w:evenHBand="0" w:firstRowFirstColumn="0" w:firstRowLastColumn="0" w:lastRowFirstColumn="0" w:lastRowLastColumn="0"/>
            </w:pPr>
            <w:r>
              <w:t>Unlikely</w:t>
            </w:r>
          </w:p>
        </w:tc>
        <w:tc>
          <w:tcPr>
            <w:tcW w:w="0" w:type="auto"/>
          </w:tcPr>
          <w:p w14:paraId="320FA6E4" w14:textId="2945147C" w:rsidR="00D340A4" w:rsidRDefault="00D340A4" w:rsidP="00732F28">
            <w:pPr>
              <w:spacing w:after="0"/>
              <w:cnfStyle w:val="000000000000" w:firstRow="0" w:lastRow="0" w:firstColumn="0" w:lastColumn="0" w:oddVBand="0" w:evenVBand="0" w:oddHBand="0" w:evenHBand="0" w:firstRowFirstColumn="0" w:firstRowLastColumn="0" w:lastRowFirstColumn="0" w:lastRowLastColumn="0"/>
            </w:pPr>
            <w:r>
              <w:t>Possible</w:t>
            </w:r>
          </w:p>
        </w:tc>
        <w:tc>
          <w:tcPr>
            <w:tcW w:w="0" w:type="auto"/>
          </w:tcPr>
          <w:p w14:paraId="1D82440F" w14:textId="2F7F9788" w:rsidR="00D340A4" w:rsidRDefault="00D340A4" w:rsidP="009127CE">
            <w:pPr>
              <w:spacing w:after="0"/>
              <w:jc w:val="center"/>
              <w:cnfStyle w:val="000000000000" w:firstRow="0" w:lastRow="0" w:firstColumn="0" w:lastColumn="0" w:oddVBand="0" w:evenVBand="0" w:oddHBand="0" w:evenHBand="0" w:firstRowFirstColumn="0" w:firstRowLastColumn="0" w:lastRowFirstColumn="0" w:lastRowLastColumn="0"/>
            </w:pPr>
            <w:r>
              <w:t>Likely</w:t>
            </w:r>
          </w:p>
        </w:tc>
      </w:tr>
      <w:tr w:rsidR="00190F8D" w14:paraId="66C0ACD3" w14:textId="77777777" w:rsidTr="00D340A4">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14:paraId="02BC89BD" w14:textId="77777777" w:rsidR="009127CE" w:rsidRPr="00B13E61" w:rsidRDefault="009127CE" w:rsidP="00B13E61">
            <w:pPr>
              <w:spacing w:after="0"/>
              <w:jc w:val="center"/>
            </w:pPr>
            <w:r w:rsidRPr="00B13E61">
              <w:t>Impact</w:t>
            </w:r>
          </w:p>
          <w:p w14:paraId="3D220B75" w14:textId="744ED655" w:rsidR="00190F8D" w:rsidRPr="00B13E61" w:rsidRDefault="00190F8D" w:rsidP="00B13E61">
            <w:pPr>
              <w:spacing w:after="0"/>
              <w:jc w:val="center"/>
              <w:rPr>
                <w:rStyle w:val="SubtleEmphasis"/>
                <w:b w:val="0"/>
                <w:bCs w:val="0"/>
              </w:rPr>
            </w:pPr>
            <w:r w:rsidRPr="00B13E61">
              <w:rPr>
                <w:rStyle w:val="SubtleEmphasis"/>
                <w:b w:val="0"/>
                <w:bCs w:val="0"/>
              </w:rPr>
              <w:t>Severity of consequences</w:t>
            </w:r>
            <w:r w:rsidR="00B13E61">
              <w:rPr>
                <w:rStyle w:val="SubtleEmphasis"/>
                <w:b w:val="0"/>
                <w:bCs w:val="0"/>
              </w:rPr>
              <w:br/>
            </w:r>
            <w:r w:rsidRPr="00B13E61">
              <w:rPr>
                <w:rStyle w:val="SubtleEmphasis"/>
                <w:b w:val="0"/>
                <w:bCs w:val="0"/>
              </w:rPr>
              <w:t>should the risk occur</w:t>
            </w:r>
          </w:p>
        </w:tc>
        <w:tc>
          <w:tcPr>
            <w:tcW w:w="0" w:type="auto"/>
          </w:tcPr>
          <w:p w14:paraId="7E19164D" w14:textId="45C35E0E" w:rsidR="009127CE" w:rsidRDefault="009127CE" w:rsidP="00190F8D">
            <w:pPr>
              <w:spacing w:after="0"/>
              <w:jc w:val="right"/>
              <w:cnfStyle w:val="000000000000" w:firstRow="0" w:lastRow="0" w:firstColumn="0" w:lastColumn="0" w:oddVBand="0" w:evenVBand="0" w:oddHBand="0" w:evenHBand="0" w:firstRowFirstColumn="0" w:firstRowLastColumn="0" w:lastRowFirstColumn="0" w:lastRowLastColumn="0"/>
            </w:pPr>
            <w:r>
              <w:t>Low</w:t>
            </w:r>
          </w:p>
        </w:tc>
        <w:tc>
          <w:tcPr>
            <w:tcW w:w="0" w:type="auto"/>
          </w:tcPr>
          <w:p w14:paraId="5E1E5966" w14:textId="278E3396" w:rsidR="009127CE" w:rsidRPr="00D340A4" w:rsidRDefault="009127CE" w:rsidP="00D340A4">
            <w:pPr>
              <w:spacing w:after="0"/>
              <w:jc w:val="center"/>
              <w:cnfStyle w:val="000000000000" w:firstRow="0" w:lastRow="0" w:firstColumn="0" w:lastColumn="0" w:oddVBand="0" w:evenVBand="0" w:oddHBand="0" w:evenHBand="0" w:firstRowFirstColumn="0" w:firstRowLastColumn="0" w:lastRowFirstColumn="0" w:lastRowLastColumn="0"/>
              <w:rPr>
                <w:color w:val="7F7F7F" w:themeColor="text1" w:themeTint="80"/>
              </w:rPr>
            </w:pPr>
            <w:r w:rsidRPr="00D340A4">
              <w:rPr>
                <w:color w:val="7F7F7F" w:themeColor="text1" w:themeTint="80"/>
              </w:rPr>
              <w:t>1</w:t>
            </w:r>
          </w:p>
        </w:tc>
        <w:tc>
          <w:tcPr>
            <w:tcW w:w="0" w:type="auto"/>
          </w:tcPr>
          <w:p w14:paraId="4D588C59" w14:textId="155DCD19" w:rsidR="009127CE" w:rsidRPr="00D340A4" w:rsidRDefault="009127CE" w:rsidP="00D340A4">
            <w:pPr>
              <w:spacing w:after="0"/>
              <w:jc w:val="center"/>
              <w:cnfStyle w:val="000000000000" w:firstRow="0" w:lastRow="0" w:firstColumn="0" w:lastColumn="0" w:oddVBand="0" w:evenVBand="0" w:oddHBand="0" w:evenHBand="0" w:firstRowFirstColumn="0" w:firstRowLastColumn="0" w:lastRowFirstColumn="0" w:lastRowLastColumn="0"/>
              <w:rPr>
                <w:color w:val="7F7F7F" w:themeColor="text1" w:themeTint="80"/>
              </w:rPr>
            </w:pPr>
            <w:r w:rsidRPr="00D340A4">
              <w:rPr>
                <w:color w:val="7F7F7F" w:themeColor="text1" w:themeTint="80"/>
              </w:rPr>
              <w:t>2</w:t>
            </w:r>
          </w:p>
        </w:tc>
        <w:tc>
          <w:tcPr>
            <w:tcW w:w="0" w:type="auto"/>
          </w:tcPr>
          <w:p w14:paraId="590D1A8E" w14:textId="4A91F61F" w:rsidR="009127CE" w:rsidRDefault="009127CE" w:rsidP="00D340A4">
            <w:pPr>
              <w:spacing w:after="0"/>
              <w:jc w:val="center"/>
              <w:cnfStyle w:val="000000000000" w:firstRow="0" w:lastRow="0" w:firstColumn="0" w:lastColumn="0" w:oddVBand="0" w:evenVBand="0" w:oddHBand="0" w:evenHBand="0" w:firstRowFirstColumn="0" w:firstRowLastColumn="0" w:lastRowFirstColumn="0" w:lastRowLastColumn="0"/>
            </w:pPr>
            <w:r>
              <w:t>3</w:t>
            </w:r>
          </w:p>
        </w:tc>
      </w:tr>
      <w:tr w:rsidR="00190F8D" w14:paraId="2A691633" w14:textId="77777777" w:rsidTr="00D340A4">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8B3026F" w14:textId="77777777" w:rsidR="009127CE" w:rsidRDefault="009127CE" w:rsidP="00732F28">
            <w:pPr>
              <w:spacing w:after="0"/>
            </w:pPr>
          </w:p>
        </w:tc>
        <w:tc>
          <w:tcPr>
            <w:tcW w:w="0" w:type="auto"/>
          </w:tcPr>
          <w:p w14:paraId="5D46D922" w14:textId="1123D4CB" w:rsidR="009127CE" w:rsidRDefault="009127CE" w:rsidP="00190F8D">
            <w:pPr>
              <w:spacing w:after="0"/>
              <w:jc w:val="right"/>
              <w:cnfStyle w:val="000000000000" w:firstRow="0" w:lastRow="0" w:firstColumn="0" w:lastColumn="0" w:oddVBand="0" w:evenVBand="0" w:oddHBand="0" w:evenHBand="0" w:firstRowFirstColumn="0" w:firstRowLastColumn="0" w:lastRowFirstColumn="0" w:lastRowLastColumn="0"/>
            </w:pPr>
            <w:r>
              <w:t>Medium</w:t>
            </w:r>
          </w:p>
        </w:tc>
        <w:tc>
          <w:tcPr>
            <w:tcW w:w="0" w:type="auto"/>
          </w:tcPr>
          <w:p w14:paraId="5670FF64" w14:textId="76F3B9FB" w:rsidR="009127CE" w:rsidRPr="00D340A4" w:rsidRDefault="009127CE" w:rsidP="00D340A4">
            <w:pPr>
              <w:spacing w:after="0"/>
              <w:jc w:val="center"/>
              <w:cnfStyle w:val="000000000000" w:firstRow="0" w:lastRow="0" w:firstColumn="0" w:lastColumn="0" w:oddVBand="0" w:evenVBand="0" w:oddHBand="0" w:evenHBand="0" w:firstRowFirstColumn="0" w:firstRowLastColumn="0" w:lastRowFirstColumn="0" w:lastRowLastColumn="0"/>
              <w:rPr>
                <w:color w:val="7F7F7F" w:themeColor="text1" w:themeTint="80"/>
              </w:rPr>
            </w:pPr>
            <w:r w:rsidRPr="00D340A4">
              <w:rPr>
                <w:color w:val="7F7F7F" w:themeColor="text1" w:themeTint="80"/>
              </w:rPr>
              <w:t>2</w:t>
            </w:r>
          </w:p>
        </w:tc>
        <w:tc>
          <w:tcPr>
            <w:tcW w:w="0" w:type="auto"/>
          </w:tcPr>
          <w:p w14:paraId="48027977" w14:textId="59F4E633" w:rsidR="009127CE" w:rsidRDefault="009127CE" w:rsidP="00D340A4">
            <w:pPr>
              <w:spacing w:after="0"/>
              <w:jc w:val="center"/>
              <w:cnfStyle w:val="000000000000" w:firstRow="0" w:lastRow="0" w:firstColumn="0" w:lastColumn="0" w:oddVBand="0" w:evenVBand="0" w:oddHBand="0" w:evenHBand="0" w:firstRowFirstColumn="0" w:firstRowLastColumn="0" w:lastRowFirstColumn="0" w:lastRowLastColumn="0"/>
            </w:pPr>
            <w:r>
              <w:t>4</w:t>
            </w:r>
          </w:p>
        </w:tc>
        <w:tc>
          <w:tcPr>
            <w:tcW w:w="0" w:type="auto"/>
          </w:tcPr>
          <w:p w14:paraId="21FAB7C7" w14:textId="23300F11" w:rsidR="009127CE" w:rsidRPr="00D340A4" w:rsidRDefault="009127CE" w:rsidP="00D340A4">
            <w:pPr>
              <w:spacing w:after="0"/>
              <w:jc w:val="center"/>
              <w:cnfStyle w:val="000000000000" w:firstRow="0" w:lastRow="0" w:firstColumn="0" w:lastColumn="0" w:oddVBand="0" w:evenVBand="0" w:oddHBand="0" w:evenHBand="0" w:firstRowFirstColumn="0" w:firstRowLastColumn="0" w:lastRowFirstColumn="0" w:lastRowLastColumn="0"/>
              <w:rPr>
                <w:b/>
                <w:bCs/>
              </w:rPr>
            </w:pPr>
            <w:r w:rsidRPr="00D340A4">
              <w:rPr>
                <w:b/>
                <w:bCs/>
              </w:rPr>
              <w:t>6</w:t>
            </w:r>
          </w:p>
        </w:tc>
      </w:tr>
      <w:tr w:rsidR="00190F8D" w14:paraId="06EF355B" w14:textId="77777777" w:rsidTr="00D340A4">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24E8A438" w14:textId="77777777" w:rsidR="009127CE" w:rsidRDefault="009127CE" w:rsidP="00732F28">
            <w:pPr>
              <w:spacing w:after="0"/>
            </w:pPr>
          </w:p>
        </w:tc>
        <w:tc>
          <w:tcPr>
            <w:tcW w:w="0" w:type="auto"/>
          </w:tcPr>
          <w:p w14:paraId="0BF0CAEB" w14:textId="4FDE8B2E" w:rsidR="009127CE" w:rsidRDefault="009127CE" w:rsidP="00190F8D">
            <w:pPr>
              <w:spacing w:after="0"/>
              <w:jc w:val="right"/>
              <w:cnfStyle w:val="000000000000" w:firstRow="0" w:lastRow="0" w:firstColumn="0" w:lastColumn="0" w:oddVBand="0" w:evenVBand="0" w:oddHBand="0" w:evenHBand="0" w:firstRowFirstColumn="0" w:firstRowLastColumn="0" w:lastRowFirstColumn="0" w:lastRowLastColumn="0"/>
            </w:pPr>
            <w:r>
              <w:t>High</w:t>
            </w:r>
          </w:p>
        </w:tc>
        <w:tc>
          <w:tcPr>
            <w:tcW w:w="0" w:type="auto"/>
          </w:tcPr>
          <w:p w14:paraId="2FA5534B" w14:textId="7F32C678" w:rsidR="009127CE" w:rsidRDefault="009127CE" w:rsidP="00D340A4">
            <w:pPr>
              <w:spacing w:after="0"/>
              <w:jc w:val="center"/>
              <w:cnfStyle w:val="000000000000" w:firstRow="0" w:lastRow="0" w:firstColumn="0" w:lastColumn="0" w:oddVBand="0" w:evenVBand="0" w:oddHBand="0" w:evenHBand="0" w:firstRowFirstColumn="0" w:firstRowLastColumn="0" w:lastRowFirstColumn="0" w:lastRowLastColumn="0"/>
            </w:pPr>
            <w:r>
              <w:t>3</w:t>
            </w:r>
          </w:p>
        </w:tc>
        <w:tc>
          <w:tcPr>
            <w:tcW w:w="0" w:type="auto"/>
          </w:tcPr>
          <w:p w14:paraId="74792761" w14:textId="05BEBF2B" w:rsidR="009127CE" w:rsidRPr="00D340A4" w:rsidRDefault="009127CE" w:rsidP="00D340A4">
            <w:pPr>
              <w:spacing w:after="0"/>
              <w:jc w:val="center"/>
              <w:cnfStyle w:val="000000000000" w:firstRow="0" w:lastRow="0" w:firstColumn="0" w:lastColumn="0" w:oddVBand="0" w:evenVBand="0" w:oddHBand="0" w:evenHBand="0" w:firstRowFirstColumn="0" w:firstRowLastColumn="0" w:lastRowFirstColumn="0" w:lastRowLastColumn="0"/>
              <w:rPr>
                <w:b/>
                <w:bCs/>
              </w:rPr>
            </w:pPr>
            <w:r w:rsidRPr="00D340A4">
              <w:rPr>
                <w:b/>
                <w:bCs/>
              </w:rPr>
              <w:t>6</w:t>
            </w:r>
          </w:p>
        </w:tc>
        <w:tc>
          <w:tcPr>
            <w:tcW w:w="0" w:type="auto"/>
          </w:tcPr>
          <w:p w14:paraId="66E8AAD9" w14:textId="4C38C64F" w:rsidR="009127CE" w:rsidRPr="00D340A4" w:rsidRDefault="009127CE" w:rsidP="00D340A4">
            <w:pPr>
              <w:spacing w:after="0"/>
              <w:jc w:val="center"/>
              <w:cnfStyle w:val="000000000000" w:firstRow="0" w:lastRow="0" w:firstColumn="0" w:lastColumn="0" w:oddVBand="0" w:evenVBand="0" w:oddHBand="0" w:evenHBand="0" w:firstRowFirstColumn="0" w:firstRowLastColumn="0" w:lastRowFirstColumn="0" w:lastRowLastColumn="0"/>
              <w:rPr>
                <w:b/>
                <w:bCs/>
              </w:rPr>
            </w:pPr>
            <w:r w:rsidRPr="00D340A4">
              <w:rPr>
                <w:b/>
                <w:bCs/>
              </w:rPr>
              <w:t>9</w:t>
            </w:r>
          </w:p>
        </w:tc>
      </w:tr>
    </w:tbl>
    <w:p w14:paraId="735BEF00" w14:textId="4E448208" w:rsidR="00D340A4" w:rsidRDefault="00D340A4" w:rsidP="00DB24F0">
      <w:pPr>
        <w:spacing w:before="240"/>
      </w:pPr>
      <w:r>
        <w:t>Action is then taken as follows:</w:t>
      </w:r>
    </w:p>
    <w:p w14:paraId="226CAAFF" w14:textId="026838E9" w:rsidR="00732F28" w:rsidRDefault="00732F28" w:rsidP="006F335A">
      <w:pPr>
        <w:pStyle w:val="Bullet1"/>
      </w:pPr>
      <w:r>
        <w:t>1–2 = Low Risk – monitor</w:t>
      </w:r>
      <w:r w:rsidR="00151CD8">
        <w:t>.</w:t>
      </w:r>
    </w:p>
    <w:p w14:paraId="3DE8BBEC" w14:textId="143F3535" w:rsidR="00732F28" w:rsidRDefault="00732F28" w:rsidP="006F335A">
      <w:pPr>
        <w:pStyle w:val="Bullet1"/>
      </w:pPr>
      <w:r>
        <w:t>3–4 = Medium Risk – manage and review</w:t>
      </w:r>
      <w:r w:rsidR="00151CD8">
        <w:t>.</w:t>
      </w:r>
    </w:p>
    <w:p w14:paraId="723DC18F" w14:textId="77777777" w:rsidR="00A21A81" w:rsidRDefault="00732F28" w:rsidP="006F335A">
      <w:pPr>
        <w:pStyle w:val="Bullet1"/>
      </w:pPr>
      <w:r>
        <w:t xml:space="preserve">6–9 = High Risk – priority action and quarterly </w:t>
      </w:r>
      <w:r w:rsidR="00D340A4">
        <w:t xml:space="preserve">or more frequent </w:t>
      </w:r>
      <w:r>
        <w:t>review</w:t>
      </w:r>
      <w:r w:rsidR="00151CD8">
        <w:t>.</w:t>
      </w:r>
    </w:p>
    <w:p w14:paraId="3444DCDF" w14:textId="412626A1" w:rsidR="006F1147" w:rsidRDefault="006F1147" w:rsidP="00D255A4">
      <w:pPr>
        <w:spacing w:before="240"/>
      </w:pPr>
      <w:r>
        <w:t>The ‘Residual Risk’ is what is left after applying mitigation.</w:t>
      </w:r>
    </w:p>
    <w:p w14:paraId="1093F239" w14:textId="644401FC" w:rsidR="006F1147" w:rsidRDefault="006F1147" w:rsidP="006F335A">
      <w:pPr>
        <w:pStyle w:val="Bullet1"/>
        <w:sectPr w:rsidR="006F1147" w:rsidSect="003D6FF5">
          <w:headerReference w:type="default" r:id="rId9"/>
          <w:footerReference w:type="default" r:id="rId10"/>
          <w:type w:val="continuous"/>
          <w:pgSz w:w="11906" w:h="16838"/>
          <w:pgMar w:top="1440" w:right="1080" w:bottom="1440" w:left="1080" w:header="709" w:footer="709" w:gutter="0"/>
          <w:cols w:space="708"/>
          <w:docGrid w:linePitch="360"/>
        </w:sectPr>
      </w:pPr>
    </w:p>
    <w:p w14:paraId="0D3B5B89" w14:textId="77777777" w:rsidR="006A685D" w:rsidRDefault="006A685D" w:rsidP="006A685D">
      <w:pPr>
        <w:pStyle w:val="Heading"/>
      </w:pPr>
      <w:r>
        <w:lastRenderedPageBreak/>
        <w:t>Risk Register</w:t>
      </w:r>
    </w:p>
    <w:p w14:paraId="0ABB41A7" w14:textId="355D2653" w:rsidR="009127CE" w:rsidRDefault="009127CE" w:rsidP="009127CE">
      <w:r>
        <w:t>This register</w:t>
      </w:r>
      <w:r w:rsidRPr="009127CE">
        <w:t xml:space="preserve"> is reviewed annually by Full </w:t>
      </w:r>
      <w:proofErr w:type="gramStart"/>
      <w:r w:rsidRPr="009127CE">
        <w:t>Council</w:t>
      </w:r>
      <w:proofErr w:type="gramEnd"/>
      <w:r w:rsidRPr="009127CE">
        <w:t xml:space="preserve"> and the review is formally </w:t>
      </w:r>
      <w:proofErr w:type="spellStart"/>
      <w:r w:rsidRPr="009127CE">
        <w:t>minuted</w:t>
      </w:r>
      <w:proofErr w:type="spellEnd"/>
      <w:r w:rsidRPr="009127CE">
        <w:t>.</w:t>
      </w:r>
    </w:p>
    <w:p w14:paraId="7D167103" w14:textId="3CEB5B57" w:rsidR="006A685D" w:rsidRPr="00A21A81" w:rsidRDefault="006A685D" w:rsidP="00A21A81">
      <w:pPr>
        <w:pStyle w:val="Subheading"/>
      </w:pPr>
      <w:r w:rsidRPr="00A21A81">
        <w:t>Governance &amp; Legal Compliance</w:t>
      </w:r>
    </w:p>
    <w:tbl>
      <w:tblPr>
        <w:tblStyle w:val="TableGrid"/>
        <w:tblW w:w="5000" w:type="pct"/>
        <w:tblLayout w:type="fixed"/>
        <w:tblLook w:val="0620" w:firstRow="1" w:lastRow="0" w:firstColumn="0" w:lastColumn="0" w:noHBand="1" w:noVBand="1"/>
      </w:tblPr>
      <w:tblGrid>
        <w:gridCol w:w="2093"/>
        <w:gridCol w:w="1404"/>
        <w:gridCol w:w="1395"/>
        <w:gridCol w:w="1395"/>
        <w:gridCol w:w="3487"/>
        <w:gridCol w:w="1395"/>
        <w:gridCol w:w="1395"/>
        <w:gridCol w:w="1384"/>
      </w:tblGrid>
      <w:tr w:rsidR="006F1147" w:rsidRPr="00A21A81" w14:paraId="590F62AC" w14:textId="77777777" w:rsidTr="007A46A0">
        <w:trPr>
          <w:cantSplit/>
          <w:tblHeader/>
        </w:trPr>
        <w:tc>
          <w:tcPr>
            <w:tcW w:w="750" w:type="pct"/>
          </w:tcPr>
          <w:p w14:paraId="07EB98B8" w14:textId="77777777" w:rsidR="00FD44B4" w:rsidRPr="00A21A81" w:rsidRDefault="00FD44B4" w:rsidP="00ED5CEE">
            <w:pPr>
              <w:rPr>
                <w:rStyle w:val="Strong"/>
              </w:rPr>
            </w:pPr>
            <w:r w:rsidRPr="00A21A81">
              <w:rPr>
                <w:rStyle w:val="Strong"/>
              </w:rPr>
              <w:t>Risk</w:t>
            </w:r>
          </w:p>
        </w:tc>
        <w:tc>
          <w:tcPr>
            <w:tcW w:w="503" w:type="pct"/>
          </w:tcPr>
          <w:p w14:paraId="744E76AD" w14:textId="77777777" w:rsidR="00FD44B4" w:rsidRPr="00A21A81" w:rsidRDefault="00FD44B4" w:rsidP="00ED5CEE">
            <w:pPr>
              <w:rPr>
                <w:rStyle w:val="Strong"/>
              </w:rPr>
            </w:pPr>
            <w:r w:rsidRPr="00A21A81">
              <w:rPr>
                <w:rStyle w:val="Strong"/>
              </w:rPr>
              <w:t>Likelihood</w:t>
            </w:r>
          </w:p>
        </w:tc>
        <w:tc>
          <w:tcPr>
            <w:tcW w:w="500" w:type="pct"/>
          </w:tcPr>
          <w:p w14:paraId="012BAEA8" w14:textId="77777777" w:rsidR="00FD44B4" w:rsidRPr="00A21A81" w:rsidRDefault="00FD44B4" w:rsidP="00ED5CEE">
            <w:pPr>
              <w:rPr>
                <w:rStyle w:val="Strong"/>
              </w:rPr>
            </w:pPr>
            <w:r w:rsidRPr="00A21A81">
              <w:rPr>
                <w:rStyle w:val="Strong"/>
              </w:rPr>
              <w:t>Impact</w:t>
            </w:r>
          </w:p>
        </w:tc>
        <w:tc>
          <w:tcPr>
            <w:tcW w:w="500" w:type="pct"/>
          </w:tcPr>
          <w:p w14:paraId="03D8146A" w14:textId="77777777" w:rsidR="00FD44B4" w:rsidRPr="00A21A81" w:rsidRDefault="00FD44B4" w:rsidP="00ED5CEE">
            <w:pPr>
              <w:rPr>
                <w:rStyle w:val="Strong"/>
              </w:rPr>
            </w:pPr>
            <w:r w:rsidRPr="00A21A81">
              <w:rPr>
                <w:rStyle w:val="Strong"/>
              </w:rPr>
              <w:t>Rating</w:t>
            </w:r>
          </w:p>
        </w:tc>
        <w:tc>
          <w:tcPr>
            <w:tcW w:w="1250" w:type="pct"/>
          </w:tcPr>
          <w:p w14:paraId="1393CE86" w14:textId="77777777" w:rsidR="00FD44B4" w:rsidRPr="00A21A81" w:rsidRDefault="00FD44B4" w:rsidP="00ED5CEE">
            <w:pPr>
              <w:rPr>
                <w:rStyle w:val="Strong"/>
              </w:rPr>
            </w:pPr>
            <w:r w:rsidRPr="00A21A81">
              <w:rPr>
                <w:rStyle w:val="Strong"/>
              </w:rPr>
              <w:t>Controls</w:t>
            </w:r>
          </w:p>
        </w:tc>
        <w:tc>
          <w:tcPr>
            <w:tcW w:w="500" w:type="pct"/>
          </w:tcPr>
          <w:p w14:paraId="2866A981" w14:textId="77777777" w:rsidR="00FD44B4" w:rsidRPr="00A21A81" w:rsidRDefault="00FD44B4" w:rsidP="00ED5CEE">
            <w:pPr>
              <w:rPr>
                <w:rStyle w:val="Strong"/>
              </w:rPr>
            </w:pPr>
            <w:r w:rsidRPr="00A21A81">
              <w:rPr>
                <w:rStyle w:val="Strong"/>
              </w:rPr>
              <w:t>Owner</w:t>
            </w:r>
          </w:p>
        </w:tc>
        <w:tc>
          <w:tcPr>
            <w:tcW w:w="500" w:type="pct"/>
          </w:tcPr>
          <w:p w14:paraId="058184A0" w14:textId="77777777" w:rsidR="00FD44B4" w:rsidRPr="00A21A81" w:rsidRDefault="00FD44B4" w:rsidP="00ED5CEE">
            <w:pPr>
              <w:rPr>
                <w:rStyle w:val="Strong"/>
              </w:rPr>
            </w:pPr>
            <w:r w:rsidRPr="00A21A81">
              <w:rPr>
                <w:rStyle w:val="Strong"/>
              </w:rPr>
              <w:t>Residual Risk</w:t>
            </w:r>
          </w:p>
        </w:tc>
        <w:tc>
          <w:tcPr>
            <w:tcW w:w="496" w:type="pct"/>
          </w:tcPr>
          <w:p w14:paraId="54C9B41B" w14:textId="77777777" w:rsidR="00FD44B4" w:rsidRPr="00A21A81" w:rsidRDefault="00FD44B4" w:rsidP="00ED5CEE">
            <w:pPr>
              <w:rPr>
                <w:rStyle w:val="Strong"/>
              </w:rPr>
            </w:pPr>
            <w:r w:rsidRPr="00A21A81">
              <w:rPr>
                <w:rStyle w:val="Strong"/>
              </w:rPr>
              <w:t>Review Frequency</w:t>
            </w:r>
          </w:p>
        </w:tc>
      </w:tr>
      <w:tr w:rsidR="006F1147" w14:paraId="63B6A184" w14:textId="77777777" w:rsidTr="007A46A0">
        <w:trPr>
          <w:cantSplit/>
        </w:trPr>
        <w:tc>
          <w:tcPr>
            <w:tcW w:w="750" w:type="pct"/>
          </w:tcPr>
          <w:p w14:paraId="3E494BC8" w14:textId="77777777" w:rsidR="00FD44B4" w:rsidRDefault="00FD44B4" w:rsidP="00ED5CEE">
            <w:r>
              <w:t>Delegation errors</w:t>
            </w:r>
          </w:p>
        </w:tc>
        <w:tc>
          <w:tcPr>
            <w:tcW w:w="503" w:type="pct"/>
          </w:tcPr>
          <w:p w14:paraId="1CED15B2" w14:textId="77777777" w:rsidR="00FD44B4" w:rsidRDefault="00FD44B4" w:rsidP="00ED5CEE">
            <w:r>
              <w:t>1</w:t>
            </w:r>
          </w:p>
        </w:tc>
        <w:tc>
          <w:tcPr>
            <w:tcW w:w="500" w:type="pct"/>
          </w:tcPr>
          <w:p w14:paraId="4E65FF91" w14:textId="77777777" w:rsidR="00FD44B4" w:rsidRDefault="00FD44B4" w:rsidP="00ED5CEE">
            <w:r>
              <w:t>2</w:t>
            </w:r>
          </w:p>
        </w:tc>
        <w:tc>
          <w:tcPr>
            <w:tcW w:w="500" w:type="pct"/>
          </w:tcPr>
          <w:p w14:paraId="3A0A3677" w14:textId="77777777" w:rsidR="00FD44B4" w:rsidRDefault="00FD44B4" w:rsidP="00ED5CEE">
            <w:r>
              <w:t>2</w:t>
            </w:r>
          </w:p>
        </w:tc>
        <w:tc>
          <w:tcPr>
            <w:tcW w:w="1250" w:type="pct"/>
          </w:tcPr>
          <w:p w14:paraId="1CD42DBD" w14:textId="385818DB" w:rsidR="000B7C52" w:rsidRDefault="00FD44B4" w:rsidP="00ED5CEE">
            <w:r>
              <w:t>Scheme of Delegation</w:t>
            </w:r>
            <w:r w:rsidR="000B7C52">
              <w:t>.</w:t>
            </w:r>
          </w:p>
          <w:p w14:paraId="4AEBB5B9" w14:textId="28F41F0E" w:rsidR="000B7C52" w:rsidRDefault="00FD44B4" w:rsidP="00ED5CEE">
            <w:r>
              <w:t>Clerk trained</w:t>
            </w:r>
            <w:r w:rsidR="000B7C52">
              <w:t>.</w:t>
            </w:r>
          </w:p>
          <w:p w14:paraId="34D85670" w14:textId="4CB72430" w:rsidR="00FD44B4" w:rsidRDefault="000B7C52" w:rsidP="00ED5CEE">
            <w:r>
              <w:t>D</w:t>
            </w:r>
            <w:r w:rsidR="00FD44B4">
              <w:t>ecisions reported back</w:t>
            </w:r>
            <w:r>
              <w:t>.</w:t>
            </w:r>
          </w:p>
        </w:tc>
        <w:tc>
          <w:tcPr>
            <w:tcW w:w="500" w:type="pct"/>
          </w:tcPr>
          <w:p w14:paraId="6A78CD0B" w14:textId="77777777" w:rsidR="00FD44B4" w:rsidRDefault="00FD44B4" w:rsidP="00ED5CEE">
            <w:r>
              <w:t>Clerk</w:t>
            </w:r>
          </w:p>
        </w:tc>
        <w:tc>
          <w:tcPr>
            <w:tcW w:w="500" w:type="pct"/>
          </w:tcPr>
          <w:p w14:paraId="375F0E57" w14:textId="77777777" w:rsidR="00FD44B4" w:rsidRDefault="00FD44B4" w:rsidP="00ED5CEE">
            <w:r>
              <w:t>Low</w:t>
            </w:r>
          </w:p>
        </w:tc>
        <w:tc>
          <w:tcPr>
            <w:tcW w:w="496" w:type="pct"/>
          </w:tcPr>
          <w:p w14:paraId="54B5F64C" w14:textId="77777777" w:rsidR="00FD44B4" w:rsidRDefault="00FD44B4" w:rsidP="00ED5CEE">
            <w:r>
              <w:t>Annual</w:t>
            </w:r>
          </w:p>
        </w:tc>
      </w:tr>
      <w:tr w:rsidR="006F1147" w14:paraId="7B9998D2" w14:textId="77777777" w:rsidTr="007A46A0">
        <w:trPr>
          <w:cantSplit/>
        </w:trPr>
        <w:tc>
          <w:tcPr>
            <w:tcW w:w="750" w:type="pct"/>
          </w:tcPr>
          <w:p w14:paraId="705F31F9" w14:textId="77777777" w:rsidR="00FD44B4" w:rsidRDefault="00FD44B4" w:rsidP="00ED5CEE">
            <w:r>
              <w:t>External audit compliance failure</w:t>
            </w:r>
          </w:p>
        </w:tc>
        <w:tc>
          <w:tcPr>
            <w:tcW w:w="503" w:type="pct"/>
          </w:tcPr>
          <w:p w14:paraId="0F0D0250" w14:textId="77777777" w:rsidR="00FD44B4" w:rsidRDefault="00FD44B4" w:rsidP="00ED5CEE">
            <w:r>
              <w:t>1</w:t>
            </w:r>
          </w:p>
        </w:tc>
        <w:tc>
          <w:tcPr>
            <w:tcW w:w="500" w:type="pct"/>
          </w:tcPr>
          <w:p w14:paraId="011E7D6D" w14:textId="77777777" w:rsidR="00FD44B4" w:rsidRDefault="00FD44B4" w:rsidP="00ED5CEE">
            <w:r>
              <w:t>2</w:t>
            </w:r>
          </w:p>
        </w:tc>
        <w:tc>
          <w:tcPr>
            <w:tcW w:w="500" w:type="pct"/>
          </w:tcPr>
          <w:p w14:paraId="09BE6138" w14:textId="77777777" w:rsidR="00FD44B4" w:rsidRDefault="00FD44B4" w:rsidP="00ED5CEE">
            <w:r>
              <w:t>2</w:t>
            </w:r>
          </w:p>
        </w:tc>
        <w:tc>
          <w:tcPr>
            <w:tcW w:w="1250" w:type="pct"/>
          </w:tcPr>
          <w:p w14:paraId="191222A4" w14:textId="4CBEBF21" w:rsidR="000B7C52" w:rsidRDefault="00FD44B4" w:rsidP="00ED5CEE">
            <w:r>
              <w:t>AGAR prepared and submitted on time</w:t>
            </w:r>
            <w:r w:rsidR="000B7C52">
              <w:t>.</w:t>
            </w:r>
          </w:p>
          <w:p w14:paraId="67A451AC" w14:textId="7AA95214" w:rsidR="00FD44B4" w:rsidRDefault="000B7C52" w:rsidP="00ED5CEE">
            <w:r>
              <w:t>P</w:t>
            </w:r>
            <w:r w:rsidR="00FD44B4">
              <w:t>ublic rights period advertised</w:t>
            </w:r>
            <w:r>
              <w:t>.</w:t>
            </w:r>
          </w:p>
        </w:tc>
        <w:tc>
          <w:tcPr>
            <w:tcW w:w="500" w:type="pct"/>
          </w:tcPr>
          <w:p w14:paraId="25DE1EE5" w14:textId="77777777" w:rsidR="00FD44B4" w:rsidRDefault="00FD44B4" w:rsidP="00ED5CEE">
            <w:r>
              <w:t>Clerk</w:t>
            </w:r>
          </w:p>
        </w:tc>
        <w:tc>
          <w:tcPr>
            <w:tcW w:w="500" w:type="pct"/>
          </w:tcPr>
          <w:p w14:paraId="55540C75" w14:textId="77777777" w:rsidR="00FD44B4" w:rsidRDefault="00FD44B4" w:rsidP="00ED5CEE">
            <w:r>
              <w:t>Low</w:t>
            </w:r>
          </w:p>
        </w:tc>
        <w:tc>
          <w:tcPr>
            <w:tcW w:w="496" w:type="pct"/>
          </w:tcPr>
          <w:p w14:paraId="146ED978" w14:textId="77777777" w:rsidR="00FD44B4" w:rsidRDefault="00FD44B4" w:rsidP="00ED5CEE">
            <w:r>
              <w:t>Annual</w:t>
            </w:r>
          </w:p>
        </w:tc>
      </w:tr>
      <w:tr w:rsidR="006F1147" w14:paraId="4C023BAA" w14:textId="77777777" w:rsidTr="007A46A0">
        <w:trPr>
          <w:cantSplit/>
        </w:trPr>
        <w:tc>
          <w:tcPr>
            <w:tcW w:w="750" w:type="pct"/>
          </w:tcPr>
          <w:p w14:paraId="3F69EDD3" w14:textId="77777777" w:rsidR="00FD44B4" w:rsidRDefault="00FD44B4" w:rsidP="00ED5CEE">
            <w:r>
              <w:t>FOI non-compliance</w:t>
            </w:r>
          </w:p>
        </w:tc>
        <w:tc>
          <w:tcPr>
            <w:tcW w:w="503" w:type="pct"/>
          </w:tcPr>
          <w:p w14:paraId="5DD59383" w14:textId="77777777" w:rsidR="00FD44B4" w:rsidRDefault="00FD44B4" w:rsidP="00ED5CEE">
            <w:r>
              <w:t>1</w:t>
            </w:r>
          </w:p>
        </w:tc>
        <w:tc>
          <w:tcPr>
            <w:tcW w:w="500" w:type="pct"/>
          </w:tcPr>
          <w:p w14:paraId="6588FCF4" w14:textId="77777777" w:rsidR="00FD44B4" w:rsidRDefault="00FD44B4" w:rsidP="00ED5CEE">
            <w:r>
              <w:t>2</w:t>
            </w:r>
          </w:p>
        </w:tc>
        <w:tc>
          <w:tcPr>
            <w:tcW w:w="500" w:type="pct"/>
          </w:tcPr>
          <w:p w14:paraId="535CF9DA" w14:textId="77777777" w:rsidR="00FD44B4" w:rsidRDefault="00FD44B4" w:rsidP="00ED5CEE">
            <w:r>
              <w:t>2</w:t>
            </w:r>
          </w:p>
        </w:tc>
        <w:tc>
          <w:tcPr>
            <w:tcW w:w="1250" w:type="pct"/>
          </w:tcPr>
          <w:p w14:paraId="30E9F889" w14:textId="614A4E43" w:rsidR="00FD44B4" w:rsidRDefault="00FD44B4" w:rsidP="00ED5CEE">
            <w:r>
              <w:t>FOI policy, statutory response times monitored</w:t>
            </w:r>
            <w:r w:rsidR="000B7C52">
              <w:t>.</w:t>
            </w:r>
          </w:p>
        </w:tc>
        <w:tc>
          <w:tcPr>
            <w:tcW w:w="500" w:type="pct"/>
          </w:tcPr>
          <w:p w14:paraId="1AF07F88" w14:textId="77777777" w:rsidR="00FD44B4" w:rsidRDefault="00FD44B4" w:rsidP="00ED5CEE">
            <w:r>
              <w:t>Clerk</w:t>
            </w:r>
          </w:p>
        </w:tc>
        <w:tc>
          <w:tcPr>
            <w:tcW w:w="500" w:type="pct"/>
          </w:tcPr>
          <w:p w14:paraId="17593D21" w14:textId="77777777" w:rsidR="00FD44B4" w:rsidRDefault="00FD44B4" w:rsidP="00ED5CEE">
            <w:r>
              <w:t>Low</w:t>
            </w:r>
          </w:p>
        </w:tc>
        <w:tc>
          <w:tcPr>
            <w:tcW w:w="496" w:type="pct"/>
          </w:tcPr>
          <w:p w14:paraId="558AE1B8" w14:textId="77777777" w:rsidR="00FD44B4" w:rsidRDefault="00FD44B4" w:rsidP="00ED5CEE">
            <w:r>
              <w:t>Annual</w:t>
            </w:r>
          </w:p>
        </w:tc>
      </w:tr>
      <w:tr w:rsidR="006F1147" w14:paraId="02C52E5F" w14:textId="77777777" w:rsidTr="007A46A0">
        <w:trPr>
          <w:cantSplit/>
        </w:trPr>
        <w:tc>
          <w:tcPr>
            <w:tcW w:w="750" w:type="pct"/>
          </w:tcPr>
          <w:p w14:paraId="0CB7D136" w14:textId="77777777" w:rsidR="00FD44B4" w:rsidRDefault="00FD44B4" w:rsidP="00ED5CEE">
            <w:r>
              <w:t>GDPR breach</w:t>
            </w:r>
          </w:p>
        </w:tc>
        <w:tc>
          <w:tcPr>
            <w:tcW w:w="503" w:type="pct"/>
          </w:tcPr>
          <w:p w14:paraId="02E1C00A" w14:textId="77777777" w:rsidR="00FD44B4" w:rsidRDefault="00FD44B4" w:rsidP="00ED5CEE">
            <w:r>
              <w:t>2</w:t>
            </w:r>
          </w:p>
        </w:tc>
        <w:tc>
          <w:tcPr>
            <w:tcW w:w="500" w:type="pct"/>
          </w:tcPr>
          <w:p w14:paraId="2990F4AF" w14:textId="77777777" w:rsidR="00FD44B4" w:rsidRDefault="00FD44B4" w:rsidP="00ED5CEE">
            <w:r>
              <w:t>2</w:t>
            </w:r>
          </w:p>
        </w:tc>
        <w:tc>
          <w:tcPr>
            <w:tcW w:w="500" w:type="pct"/>
          </w:tcPr>
          <w:p w14:paraId="3907A822" w14:textId="77777777" w:rsidR="00FD44B4" w:rsidRDefault="00FD44B4" w:rsidP="00ED5CEE">
            <w:r>
              <w:t>4</w:t>
            </w:r>
          </w:p>
        </w:tc>
        <w:tc>
          <w:tcPr>
            <w:tcW w:w="1250" w:type="pct"/>
          </w:tcPr>
          <w:p w14:paraId="3EC8818A" w14:textId="675C76E6" w:rsidR="000B7C52" w:rsidRDefault="00FD44B4" w:rsidP="00ED5CEE">
            <w:r>
              <w:t>Data Protection Policy</w:t>
            </w:r>
            <w:r w:rsidR="000B7C52">
              <w:t>.</w:t>
            </w:r>
          </w:p>
          <w:p w14:paraId="7AFD36C4" w14:textId="1720026C" w:rsidR="000B7C52" w:rsidRDefault="000B7C52" w:rsidP="00ED5CEE">
            <w:r>
              <w:t>C</w:t>
            </w:r>
            <w:r w:rsidR="00FD44B4">
              <w:t>loud backups</w:t>
            </w:r>
            <w:r>
              <w:t>.</w:t>
            </w:r>
          </w:p>
          <w:p w14:paraId="75C9E090" w14:textId="0B158D57" w:rsidR="00FD44B4" w:rsidRDefault="000B7C52" w:rsidP="00ED5CEE">
            <w:r>
              <w:t>P</w:t>
            </w:r>
            <w:r w:rsidR="00FD44B4">
              <w:t>assword protocols</w:t>
            </w:r>
            <w:r>
              <w:t>.</w:t>
            </w:r>
          </w:p>
        </w:tc>
        <w:tc>
          <w:tcPr>
            <w:tcW w:w="500" w:type="pct"/>
          </w:tcPr>
          <w:p w14:paraId="5CB8E7B3" w14:textId="77777777" w:rsidR="00FD44B4" w:rsidRDefault="00FD44B4" w:rsidP="00ED5CEE">
            <w:r>
              <w:t>Clerk</w:t>
            </w:r>
          </w:p>
        </w:tc>
        <w:tc>
          <w:tcPr>
            <w:tcW w:w="500" w:type="pct"/>
          </w:tcPr>
          <w:p w14:paraId="3C9DB3BD" w14:textId="77777777" w:rsidR="00FD44B4" w:rsidRDefault="00FD44B4" w:rsidP="00ED5CEE">
            <w:r>
              <w:t>Medium</w:t>
            </w:r>
          </w:p>
        </w:tc>
        <w:tc>
          <w:tcPr>
            <w:tcW w:w="496" w:type="pct"/>
          </w:tcPr>
          <w:p w14:paraId="29A38F82" w14:textId="77777777" w:rsidR="00FD44B4" w:rsidRDefault="00FD44B4" w:rsidP="00ED5CEE">
            <w:r>
              <w:t>Annual</w:t>
            </w:r>
          </w:p>
        </w:tc>
      </w:tr>
      <w:tr w:rsidR="006F1147" w14:paraId="1AFD5B9D" w14:textId="77777777" w:rsidTr="007A46A0">
        <w:trPr>
          <w:cantSplit/>
        </w:trPr>
        <w:tc>
          <w:tcPr>
            <w:tcW w:w="750" w:type="pct"/>
          </w:tcPr>
          <w:p w14:paraId="61909234" w14:textId="77777777" w:rsidR="00FD44B4" w:rsidRDefault="00FD44B4" w:rsidP="00ED5CEE">
            <w:r>
              <w:t>Internal audit failure</w:t>
            </w:r>
          </w:p>
        </w:tc>
        <w:tc>
          <w:tcPr>
            <w:tcW w:w="503" w:type="pct"/>
          </w:tcPr>
          <w:p w14:paraId="0245CEBB" w14:textId="77777777" w:rsidR="00FD44B4" w:rsidRDefault="00FD44B4" w:rsidP="00ED5CEE">
            <w:r>
              <w:t>1</w:t>
            </w:r>
          </w:p>
        </w:tc>
        <w:tc>
          <w:tcPr>
            <w:tcW w:w="500" w:type="pct"/>
          </w:tcPr>
          <w:p w14:paraId="4B188D63" w14:textId="77777777" w:rsidR="00FD44B4" w:rsidRDefault="00FD44B4" w:rsidP="00ED5CEE">
            <w:r>
              <w:t>2</w:t>
            </w:r>
          </w:p>
        </w:tc>
        <w:tc>
          <w:tcPr>
            <w:tcW w:w="500" w:type="pct"/>
          </w:tcPr>
          <w:p w14:paraId="07F4E450" w14:textId="77777777" w:rsidR="00FD44B4" w:rsidRDefault="00FD44B4" w:rsidP="00ED5CEE">
            <w:r>
              <w:t>2</w:t>
            </w:r>
          </w:p>
        </w:tc>
        <w:tc>
          <w:tcPr>
            <w:tcW w:w="1250" w:type="pct"/>
          </w:tcPr>
          <w:p w14:paraId="5A084AED" w14:textId="31AE6997" w:rsidR="000B7C52" w:rsidRDefault="00FD44B4" w:rsidP="00ED5CEE">
            <w:r>
              <w:t>Independent internal auditor appointed annually</w:t>
            </w:r>
            <w:r w:rsidR="000B7C52">
              <w:t>.</w:t>
            </w:r>
          </w:p>
          <w:p w14:paraId="58E79745" w14:textId="0B2F53CC" w:rsidR="00FD44B4" w:rsidRDefault="000B7C52" w:rsidP="00ED5CEE">
            <w:r>
              <w:t>S</w:t>
            </w:r>
            <w:r w:rsidR="00FD44B4">
              <w:t>cope agreed by Council</w:t>
            </w:r>
            <w:r>
              <w:t>.</w:t>
            </w:r>
          </w:p>
        </w:tc>
        <w:tc>
          <w:tcPr>
            <w:tcW w:w="500" w:type="pct"/>
          </w:tcPr>
          <w:p w14:paraId="47A31379" w14:textId="77777777" w:rsidR="00FD44B4" w:rsidRDefault="00FD44B4" w:rsidP="00ED5CEE">
            <w:r>
              <w:t>Council</w:t>
            </w:r>
          </w:p>
        </w:tc>
        <w:tc>
          <w:tcPr>
            <w:tcW w:w="500" w:type="pct"/>
          </w:tcPr>
          <w:p w14:paraId="562EE7E4" w14:textId="77777777" w:rsidR="00FD44B4" w:rsidRDefault="00FD44B4" w:rsidP="00ED5CEE">
            <w:r>
              <w:t>Low</w:t>
            </w:r>
          </w:p>
        </w:tc>
        <w:tc>
          <w:tcPr>
            <w:tcW w:w="496" w:type="pct"/>
          </w:tcPr>
          <w:p w14:paraId="6082F4FC" w14:textId="77777777" w:rsidR="00FD44B4" w:rsidRDefault="00FD44B4" w:rsidP="00ED5CEE">
            <w:r>
              <w:t>Annual</w:t>
            </w:r>
          </w:p>
        </w:tc>
      </w:tr>
      <w:tr w:rsidR="006F1147" w14:paraId="36691E39" w14:textId="77777777" w:rsidTr="007A46A0">
        <w:trPr>
          <w:cantSplit/>
        </w:trPr>
        <w:tc>
          <w:tcPr>
            <w:tcW w:w="750" w:type="pct"/>
          </w:tcPr>
          <w:p w14:paraId="04B05760" w14:textId="77777777" w:rsidR="00FD44B4" w:rsidRDefault="00FD44B4" w:rsidP="00ED5CEE">
            <w:r>
              <w:t>Transparency Code breach</w:t>
            </w:r>
          </w:p>
        </w:tc>
        <w:tc>
          <w:tcPr>
            <w:tcW w:w="503" w:type="pct"/>
          </w:tcPr>
          <w:p w14:paraId="7C14C055" w14:textId="77777777" w:rsidR="00FD44B4" w:rsidRDefault="00FD44B4" w:rsidP="00ED5CEE">
            <w:r>
              <w:t>1</w:t>
            </w:r>
          </w:p>
        </w:tc>
        <w:tc>
          <w:tcPr>
            <w:tcW w:w="500" w:type="pct"/>
          </w:tcPr>
          <w:p w14:paraId="43238181" w14:textId="77777777" w:rsidR="00FD44B4" w:rsidRDefault="00FD44B4" w:rsidP="00ED5CEE">
            <w:r>
              <w:t>2</w:t>
            </w:r>
          </w:p>
        </w:tc>
        <w:tc>
          <w:tcPr>
            <w:tcW w:w="500" w:type="pct"/>
          </w:tcPr>
          <w:p w14:paraId="442BF8D2" w14:textId="77777777" w:rsidR="00FD44B4" w:rsidRDefault="00FD44B4" w:rsidP="00ED5CEE">
            <w:r>
              <w:t>2</w:t>
            </w:r>
          </w:p>
        </w:tc>
        <w:tc>
          <w:tcPr>
            <w:tcW w:w="1250" w:type="pct"/>
          </w:tcPr>
          <w:p w14:paraId="65F56AA7" w14:textId="68E56A93" w:rsidR="00FD44B4" w:rsidRDefault="00FD44B4" w:rsidP="00ED5CEE">
            <w:r>
              <w:t xml:space="preserve">Agendas, minutes, policies, </w:t>
            </w:r>
            <w:r w:rsidR="000B7C52">
              <w:t xml:space="preserve">&amp; </w:t>
            </w:r>
            <w:r>
              <w:t>audit documents published online</w:t>
            </w:r>
            <w:r w:rsidR="000B7C52">
              <w:t>.</w:t>
            </w:r>
          </w:p>
        </w:tc>
        <w:tc>
          <w:tcPr>
            <w:tcW w:w="500" w:type="pct"/>
          </w:tcPr>
          <w:p w14:paraId="130964C2" w14:textId="77777777" w:rsidR="00FD44B4" w:rsidRDefault="00FD44B4" w:rsidP="00ED5CEE">
            <w:r>
              <w:t>Clerk</w:t>
            </w:r>
          </w:p>
        </w:tc>
        <w:tc>
          <w:tcPr>
            <w:tcW w:w="500" w:type="pct"/>
          </w:tcPr>
          <w:p w14:paraId="6A6B2304" w14:textId="77777777" w:rsidR="00FD44B4" w:rsidRDefault="00FD44B4" w:rsidP="00ED5CEE">
            <w:r>
              <w:t>Low</w:t>
            </w:r>
          </w:p>
        </w:tc>
        <w:tc>
          <w:tcPr>
            <w:tcW w:w="496" w:type="pct"/>
          </w:tcPr>
          <w:p w14:paraId="2B2B47AA" w14:textId="77777777" w:rsidR="00FD44B4" w:rsidRDefault="00FD44B4" w:rsidP="00ED5CEE">
            <w:r>
              <w:t>Annual</w:t>
            </w:r>
          </w:p>
        </w:tc>
      </w:tr>
      <w:tr w:rsidR="006F1147" w14:paraId="4AA51F01" w14:textId="77777777" w:rsidTr="007A46A0">
        <w:trPr>
          <w:cantSplit/>
        </w:trPr>
        <w:tc>
          <w:tcPr>
            <w:tcW w:w="750" w:type="pct"/>
          </w:tcPr>
          <w:p w14:paraId="79B945E6" w14:textId="77777777" w:rsidR="00FD44B4" w:rsidRDefault="00FD44B4" w:rsidP="00ED5CEE">
            <w:r>
              <w:t>Unlawful decision-making</w:t>
            </w:r>
          </w:p>
        </w:tc>
        <w:tc>
          <w:tcPr>
            <w:tcW w:w="503" w:type="pct"/>
          </w:tcPr>
          <w:p w14:paraId="53BB768C" w14:textId="77777777" w:rsidR="00FD44B4" w:rsidRDefault="00FD44B4" w:rsidP="00ED5CEE">
            <w:r>
              <w:t>1</w:t>
            </w:r>
          </w:p>
        </w:tc>
        <w:tc>
          <w:tcPr>
            <w:tcW w:w="500" w:type="pct"/>
          </w:tcPr>
          <w:p w14:paraId="59BFCB93" w14:textId="77777777" w:rsidR="00FD44B4" w:rsidRDefault="00FD44B4" w:rsidP="00ED5CEE">
            <w:r>
              <w:t>3</w:t>
            </w:r>
          </w:p>
        </w:tc>
        <w:tc>
          <w:tcPr>
            <w:tcW w:w="500" w:type="pct"/>
          </w:tcPr>
          <w:p w14:paraId="2DF1A3C4" w14:textId="77777777" w:rsidR="00FD44B4" w:rsidRDefault="00FD44B4" w:rsidP="00ED5CEE">
            <w:r>
              <w:t>3</w:t>
            </w:r>
          </w:p>
        </w:tc>
        <w:tc>
          <w:tcPr>
            <w:tcW w:w="1250" w:type="pct"/>
          </w:tcPr>
          <w:p w14:paraId="3B84628E" w14:textId="754EBE3F" w:rsidR="000B7C52" w:rsidRDefault="00FD44B4" w:rsidP="00ED5CEE">
            <w:r>
              <w:t>Agenda published lawfully</w:t>
            </w:r>
            <w:r w:rsidR="000B7C52">
              <w:t>.</w:t>
            </w:r>
          </w:p>
          <w:p w14:paraId="1CA76193" w14:textId="1706A759" w:rsidR="000B7C52" w:rsidRDefault="000B7C52" w:rsidP="00ED5CEE">
            <w:r>
              <w:t>C</w:t>
            </w:r>
            <w:r w:rsidR="00FD44B4">
              <w:t>lerk advises on powers</w:t>
            </w:r>
            <w:r>
              <w:t>.</w:t>
            </w:r>
          </w:p>
          <w:p w14:paraId="2A24561E" w14:textId="055B34D6" w:rsidR="00FD44B4" w:rsidRDefault="000B7C52" w:rsidP="00ED5CEE">
            <w:r>
              <w:t>D</w:t>
            </w:r>
            <w:r w:rsidR="00FD44B4">
              <w:t xml:space="preserve">ecisions </w:t>
            </w:r>
            <w:proofErr w:type="spellStart"/>
            <w:r w:rsidR="00FD44B4">
              <w:t>minuted</w:t>
            </w:r>
            <w:proofErr w:type="spellEnd"/>
            <w:r>
              <w:t>.</w:t>
            </w:r>
          </w:p>
        </w:tc>
        <w:tc>
          <w:tcPr>
            <w:tcW w:w="500" w:type="pct"/>
          </w:tcPr>
          <w:p w14:paraId="4F08946A" w14:textId="4D1E329A" w:rsidR="00FD44B4" w:rsidRDefault="00FD44B4" w:rsidP="00ED5CEE">
            <w:r>
              <w:t>Clerk</w:t>
            </w:r>
            <w:r w:rsidR="00E05CB2">
              <w:t xml:space="preserve"> </w:t>
            </w:r>
            <w:r>
              <w:t>/</w:t>
            </w:r>
            <w:r w:rsidR="00E05CB2">
              <w:t xml:space="preserve"> </w:t>
            </w:r>
            <w:r>
              <w:t>Council</w:t>
            </w:r>
          </w:p>
        </w:tc>
        <w:tc>
          <w:tcPr>
            <w:tcW w:w="500" w:type="pct"/>
          </w:tcPr>
          <w:p w14:paraId="17328658" w14:textId="77777777" w:rsidR="00FD44B4" w:rsidRDefault="00FD44B4" w:rsidP="00ED5CEE">
            <w:r>
              <w:t>Low</w:t>
            </w:r>
          </w:p>
        </w:tc>
        <w:tc>
          <w:tcPr>
            <w:tcW w:w="496" w:type="pct"/>
          </w:tcPr>
          <w:p w14:paraId="08589DA9" w14:textId="77777777" w:rsidR="00FD44B4" w:rsidRDefault="00FD44B4" w:rsidP="00ED5CEE">
            <w:r>
              <w:t>Annual</w:t>
            </w:r>
          </w:p>
        </w:tc>
      </w:tr>
      <w:tr w:rsidR="006F1147" w14:paraId="2A67D499" w14:textId="77777777" w:rsidTr="007A46A0">
        <w:trPr>
          <w:cantSplit/>
        </w:trPr>
        <w:tc>
          <w:tcPr>
            <w:tcW w:w="750" w:type="pct"/>
          </w:tcPr>
          <w:p w14:paraId="3BA3558F" w14:textId="77777777" w:rsidR="00FD44B4" w:rsidRDefault="00FD44B4" w:rsidP="00ED5CEE">
            <w:r>
              <w:lastRenderedPageBreak/>
              <w:t>Website accessibility failure</w:t>
            </w:r>
          </w:p>
        </w:tc>
        <w:tc>
          <w:tcPr>
            <w:tcW w:w="503" w:type="pct"/>
          </w:tcPr>
          <w:p w14:paraId="041633E2" w14:textId="77777777" w:rsidR="00FD44B4" w:rsidRDefault="00FD44B4" w:rsidP="00ED5CEE">
            <w:r>
              <w:t>2</w:t>
            </w:r>
          </w:p>
        </w:tc>
        <w:tc>
          <w:tcPr>
            <w:tcW w:w="500" w:type="pct"/>
          </w:tcPr>
          <w:p w14:paraId="62D10BEA" w14:textId="77777777" w:rsidR="00FD44B4" w:rsidRDefault="00FD44B4" w:rsidP="00ED5CEE">
            <w:r>
              <w:t>2</w:t>
            </w:r>
          </w:p>
        </w:tc>
        <w:tc>
          <w:tcPr>
            <w:tcW w:w="500" w:type="pct"/>
          </w:tcPr>
          <w:p w14:paraId="08C2ED4C" w14:textId="77777777" w:rsidR="00FD44B4" w:rsidRDefault="00FD44B4" w:rsidP="00ED5CEE">
            <w:r>
              <w:t>4</w:t>
            </w:r>
          </w:p>
        </w:tc>
        <w:tc>
          <w:tcPr>
            <w:tcW w:w="1250" w:type="pct"/>
          </w:tcPr>
          <w:p w14:paraId="0F42A68E" w14:textId="3E8B6980" w:rsidR="000B7C52" w:rsidRDefault="00FD44B4" w:rsidP="00ED5CEE">
            <w:r>
              <w:t>WCAG statement</w:t>
            </w:r>
            <w:r w:rsidR="000B7C52">
              <w:t>.</w:t>
            </w:r>
          </w:p>
          <w:p w14:paraId="3916358E" w14:textId="7DEB14D7" w:rsidR="00FD44B4" w:rsidRDefault="000B7C52" w:rsidP="00ED5CEE">
            <w:r>
              <w:t>A</w:t>
            </w:r>
            <w:r w:rsidR="00FD44B4">
              <w:t>nnual accessibility check</w:t>
            </w:r>
            <w:r>
              <w:t>.</w:t>
            </w:r>
          </w:p>
        </w:tc>
        <w:tc>
          <w:tcPr>
            <w:tcW w:w="500" w:type="pct"/>
          </w:tcPr>
          <w:p w14:paraId="2411643A" w14:textId="77777777" w:rsidR="00FD44B4" w:rsidRDefault="00FD44B4" w:rsidP="00ED5CEE">
            <w:r>
              <w:t>Clerk</w:t>
            </w:r>
          </w:p>
        </w:tc>
        <w:tc>
          <w:tcPr>
            <w:tcW w:w="500" w:type="pct"/>
          </w:tcPr>
          <w:p w14:paraId="4A3EBE2A" w14:textId="77777777" w:rsidR="00FD44B4" w:rsidRDefault="00FD44B4" w:rsidP="00ED5CEE">
            <w:r>
              <w:t>Low</w:t>
            </w:r>
          </w:p>
        </w:tc>
        <w:tc>
          <w:tcPr>
            <w:tcW w:w="496" w:type="pct"/>
          </w:tcPr>
          <w:p w14:paraId="64123AD4" w14:textId="77777777" w:rsidR="00FD44B4" w:rsidRDefault="00FD44B4" w:rsidP="00ED5CEE">
            <w:r>
              <w:t>Annual</w:t>
            </w:r>
          </w:p>
        </w:tc>
      </w:tr>
    </w:tbl>
    <w:p w14:paraId="3ED55A85" w14:textId="4FD452B6" w:rsidR="00B93265" w:rsidRPr="00A21A81" w:rsidRDefault="006A685D" w:rsidP="00A21A81">
      <w:pPr>
        <w:pStyle w:val="Subheading"/>
      </w:pPr>
      <w:r w:rsidRPr="00A21A81">
        <w:t>Financial Management</w:t>
      </w:r>
    </w:p>
    <w:tbl>
      <w:tblPr>
        <w:tblStyle w:val="TableGrid"/>
        <w:tblW w:w="5000" w:type="pct"/>
        <w:tblLayout w:type="fixed"/>
        <w:tblLook w:val="0620" w:firstRow="1" w:lastRow="0" w:firstColumn="0" w:lastColumn="0" w:noHBand="1" w:noVBand="1"/>
      </w:tblPr>
      <w:tblGrid>
        <w:gridCol w:w="2091"/>
        <w:gridCol w:w="1395"/>
        <w:gridCol w:w="1395"/>
        <w:gridCol w:w="1395"/>
        <w:gridCol w:w="3487"/>
        <w:gridCol w:w="1395"/>
        <w:gridCol w:w="1395"/>
        <w:gridCol w:w="1395"/>
      </w:tblGrid>
      <w:tr w:rsidR="000B7C52" w:rsidRPr="00A21A81" w14:paraId="26FE578A" w14:textId="77777777" w:rsidTr="007A46A0">
        <w:trPr>
          <w:cantSplit/>
          <w:tblHeader/>
        </w:trPr>
        <w:tc>
          <w:tcPr>
            <w:tcW w:w="750" w:type="pct"/>
          </w:tcPr>
          <w:p w14:paraId="762D1E46" w14:textId="77777777" w:rsidR="00FD44B4" w:rsidRPr="00A21A81" w:rsidRDefault="00FD44B4" w:rsidP="00A21A81">
            <w:pPr>
              <w:keepNext/>
              <w:rPr>
                <w:rStyle w:val="Strong"/>
              </w:rPr>
            </w:pPr>
            <w:r w:rsidRPr="00A21A81">
              <w:rPr>
                <w:rStyle w:val="Strong"/>
              </w:rPr>
              <w:t>Risk</w:t>
            </w:r>
          </w:p>
        </w:tc>
        <w:tc>
          <w:tcPr>
            <w:tcW w:w="500" w:type="pct"/>
          </w:tcPr>
          <w:p w14:paraId="3BEF5F5D" w14:textId="77777777" w:rsidR="00FD44B4" w:rsidRPr="00A21A81" w:rsidRDefault="00FD44B4" w:rsidP="00A21A81">
            <w:pPr>
              <w:keepNext/>
              <w:rPr>
                <w:rStyle w:val="Strong"/>
              </w:rPr>
            </w:pPr>
            <w:r w:rsidRPr="00A21A81">
              <w:rPr>
                <w:rStyle w:val="Strong"/>
              </w:rPr>
              <w:t>Likelihood</w:t>
            </w:r>
          </w:p>
        </w:tc>
        <w:tc>
          <w:tcPr>
            <w:tcW w:w="500" w:type="pct"/>
          </w:tcPr>
          <w:p w14:paraId="692A370B" w14:textId="77777777" w:rsidR="00FD44B4" w:rsidRPr="00A21A81" w:rsidRDefault="00FD44B4" w:rsidP="00A21A81">
            <w:pPr>
              <w:keepNext/>
              <w:rPr>
                <w:rStyle w:val="Strong"/>
              </w:rPr>
            </w:pPr>
            <w:r w:rsidRPr="00A21A81">
              <w:rPr>
                <w:rStyle w:val="Strong"/>
              </w:rPr>
              <w:t>Impact</w:t>
            </w:r>
          </w:p>
        </w:tc>
        <w:tc>
          <w:tcPr>
            <w:tcW w:w="500" w:type="pct"/>
          </w:tcPr>
          <w:p w14:paraId="138E8D0C" w14:textId="77777777" w:rsidR="00FD44B4" w:rsidRPr="00A21A81" w:rsidRDefault="00FD44B4" w:rsidP="00A21A81">
            <w:pPr>
              <w:keepNext/>
              <w:rPr>
                <w:rStyle w:val="Strong"/>
              </w:rPr>
            </w:pPr>
            <w:r w:rsidRPr="00A21A81">
              <w:rPr>
                <w:rStyle w:val="Strong"/>
              </w:rPr>
              <w:t>Rating</w:t>
            </w:r>
          </w:p>
        </w:tc>
        <w:tc>
          <w:tcPr>
            <w:tcW w:w="1250" w:type="pct"/>
          </w:tcPr>
          <w:p w14:paraId="5EC5B5FC" w14:textId="77777777" w:rsidR="00FD44B4" w:rsidRPr="00A21A81" w:rsidRDefault="00FD44B4" w:rsidP="00A21A81">
            <w:pPr>
              <w:keepNext/>
              <w:rPr>
                <w:rStyle w:val="Strong"/>
              </w:rPr>
            </w:pPr>
            <w:r w:rsidRPr="00A21A81">
              <w:rPr>
                <w:rStyle w:val="Strong"/>
              </w:rPr>
              <w:t>Controls</w:t>
            </w:r>
          </w:p>
        </w:tc>
        <w:tc>
          <w:tcPr>
            <w:tcW w:w="500" w:type="pct"/>
          </w:tcPr>
          <w:p w14:paraId="61E38054" w14:textId="77777777" w:rsidR="00FD44B4" w:rsidRPr="00A21A81" w:rsidRDefault="00FD44B4" w:rsidP="00A21A81">
            <w:pPr>
              <w:keepNext/>
              <w:rPr>
                <w:rStyle w:val="Strong"/>
              </w:rPr>
            </w:pPr>
            <w:r w:rsidRPr="00A21A81">
              <w:rPr>
                <w:rStyle w:val="Strong"/>
              </w:rPr>
              <w:t>Owner</w:t>
            </w:r>
          </w:p>
        </w:tc>
        <w:tc>
          <w:tcPr>
            <w:tcW w:w="500" w:type="pct"/>
          </w:tcPr>
          <w:p w14:paraId="6FBEF30D" w14:textId="77777777" w:rsidR="00FD44B4" w:rsidRPr="00A21A81" w:rsidRDefault="00FD44B4" w:rsidP="00A21A81">
            <w:pPr>
              <w:keepNext/>
              <w:rPr>
                <w:rStyle w:val="Strong"/>
              </w:rPr>
            </w:pPr>
            <w:r w:rsidRPr="00A21A81">
              <w:rPr>
                <w:rStyle w:val="Strong"/>
              </w:rPr>
              <w:t>Residual Risk</w:t>
            </w:r>
          </w:p>
        </w:tc>
        <w:tc>
          <w:tcPr>
            <w:tcW w:w="500" w:type="pct"/>
          </w:tcPr>
          <w:p w14:paraId="0B7F2014" w14:textId="77777777" w:rsidR="00FD44B4" w:rsidRPr="00A21A81" w:rsidRDefault="00FD44B4" w:rsidP="00A21A81">
            <w:pPr>
              <w:keepNext/>
              <w:rPr>
                <w:rStyle w:val="Strong"/>
              </w:rPr>
            </w:pPr>
            <w:r w:rsidRPr="00A21A81">
              <w:rPr>
                <w:rStyle w:val="Strong"/>
              </w:rPr>
              <w:t>Review Frequency</w:t>
            </w:r>
          </w:p>
        </w:tc>
      </w:tr>
      <w:tr w:rsidR="000B7C52" w14:paraId="106583E7" w14:textId="77777777" w:rsidTr="007A46A0">
        <w:trPr>
          <w:cantSplit/>
        </w:trPr>
        <w:tc>
          <w:tcPr>
            <w:tcW w:w="750" w:type="pct"/>
          </w:tcPr>
          <w:p w14:paraId="06710C6C" w14:textId="77777777" w:rsidR="00FD44B4" w:rsidRDefault="00FD44B4" w:rsidP="00ED5CEE">
            <w:r>
              <w:t>Bank reconciliation failure</w:t>
            </w:r>
          </w:p>
        </w:tc>
        <w:tc>
          <w:tcPr>
            <w:tcW w:w="500" w:type="pct"/>
          </w:tcPr>
          <w:p w14:paraId="39F6430F" w14:textId="77777777" w:rsidR="00FD44B4" w:rsidRDefault="00FD44B4" w:rsidP="00ED5CEE">
            <w:r>
              <w:t>1</w:t>
            </w:r>
          </w:p>
        </w:tc>
        <w:tc>
          <w:tcPr>
            <w:tcW w:w="500" w:type="pct"/>
          </w:tcPr>
          <w:p w14:paraId="3777564A" w14:textId="77777777" w:rsidR="00FD44B4" w:rsidRDefault="00FD44B4" w:rsidP="00ED5CEE">
            <w:r>
              <w:t>2</w:t>
            </w:r>
          </w:p>
        </w:tc>
        <w:tc>
          <w:tcPr>
            <w:tcW w:w="500" w:type="pct"/>
          </w:tcPr>
          <w:p w14:paraId="7836256D" w14:textId="77777777" w:rsidR="00FD44B4" w:rsidRDefault="00FD44B4" w:rsidP="00ED5CEE">
            <w:r>
              <w:t>2</w:t>
            </w:r>
          </w:p>
        </w:tc>
        <w:tc>
          <w:tcPr>
            <w:tcW w:w="1250" w:type="pct"/>
          </w:tcPr>
          <w:p w14:paraId="30EBF651" w14:textId="253BB067" w:rsidR="000B7C52" w:rsidRDefault="000B7C52" w:rsidP="00ED5CEE">
            <w:r>
              <w:t>Quarterly</w:t>
            </w:r>
            <w:r w:rsidR="00FD44B4">
              <w:t xml:space="preserve"> bank recs</w:t>
            </w:r>
            <w:r>
              <w:t>.</w:t>
            </w:r>
          </w:p>
          <w:p w14:paraId="6B9B0C94" w14:textId="29D9D7E2" w:rsidR="000B7C52" w:rsidRDefault="000B7C52" w:rsidP="000B7C52">
            <w:r>
              <w:t>C</w:t>
            </w:r>
            <w:r w:rsidR="00FD44B4">
              <w:t>ouncillor verification</w:t>
            </w:r>
            <w:r>
              <w:t xml:space="preserve"> (not chair).</w:t>
            </w:r>
          </w:p>
          <w:p w14:paraId="5046D0EA" w14:textId="207E56EF" w:rsidR="00FD44B4" w:rsidRDefault="00FD44B4" w:rsidP="000B7C52">
            <w:r>
              <w:t>RFO oversight</w:t>
            </w:r>
            <w:r w:rsidR="000B7C52">
              <w:t>.</w:t>
            </w:r>
          </w:p>
        </w:tc>
        <w:tc>
          <w:tcPr>
            <w:tcW w:w="500" w:type="pct"/>
          </w:tcPr>
          <w:p w14:paraId="47C986D6" w14:textId="77777777" w:rsidR="00FD44B4" w:rsidRDefault="00FD44B4" w:rsidP="00ED5CEE">
            <w:r>
              <w:t>RFO</w:t>
            </w:r>
          </w:p>
        </w:tc>
        <w:tc>
          <w:tcPr>
            <w:tcW w:w="500" w:type="pct"/>
          </w:tcPr>
          <w:p w14:paraId="194693D0" w14:textId="77777777" w:rsidR="00FD44B4" w:rsidRDefault="00FD44B4" w:rsidP="00ED5CEE">
            <w:r>
              <w:t>Low</w:t>
            </w:r>
          </w:p>
        </w:tc>
        <w:tc>
          <w:tcPr>
            <w:tcW w:w="500" w:type="pct"/>
          </w:tcPr>
          <w:p w14:paraId="21A34A49" w14:textId="77777777" w:rsidR="00FD44B4" w:rsidRDefault="00FD44B4" w:rsidP="00ED5CEE">
            <w:r>
              <w:t>Quarterly</w:t>
            </w:r>
          </w:p>
        </w:tc>
      </w:tr>
      <w:tr w:rsidR="000B7C52" w14:paraId="6985F0CD" w14:textId="77777777" w:rsidTr="007A46A0">
        <w:trPr>
          <w:cantSplit/>
        </w:trPr>
        <w:tc>
          <w:tcPr>
            <w:tcW w:w="750" w:type="pct"/>
          </w:tcPr>
          <w:p w14:paraId="2181DCEF" w14:textId="77777777" w:rsidR="00FD44B4" w:rsidRDefault="00FD44B4" w:rsidP="00ED5CEE">
            <w:r>
              <w:t>F</w:t>
            </w:r>
            <w:r w:rsidRPr="00CE54F2">
              <w:t>ailure to comply with VAT regulations (incorrect VAT returns, missed deadlines, or unclaimed VAT refunds)</w:t>
            </w:r>
          </w:p>
        </w:tc>
        <w:tc>
          <w:tcPr>
            <w:tcW w:w="500" w:type="pct"/>
          </w:tcPr>
          <w:p w14:paraId="0E057027" w14:textId="77777777" w:rsidR="00FD44B4" w:rsidRDefault="00FD44B4" w:rsidP="00ED5CEE">
            <w:r>
              <w:t>1</w:t>
            </w:r>
          </w:p>
        </w:tc>
        <w:tc>
          <w:tcPr>
            <w:tcW w:w="500" w:type="pct"/>
          </w:tcPr>
          <w:p w14:paraId="01AC4BE8" w14:textId="77777777" w:rsidR="00FD44B4" w:rsidRDefault="00FD44B4" w:rsidP="00ED5CEE">
            <w:r>
              <w:t>2</w:t>
            </w:r>
          </w:p>
        </w:tc>
        <w:tc>
          <w:tcPr>
            <w:tcW w:w="500" w:type="pct"/>
          </w:tcPr>
          <w:p w14:paraId="49E8BE8D" w14:textId="77777777" w:rsidR="00FD44B4" w:rsidRDefault="00FD44B4" w:rsidP="00ED5CEE">
            <w:r>
              <w:t>2</w:t>
            </w:r>
          </w:p>
        </w:tc>
        <w:tc>
          <w:tcPr>
            <w:tcW w:w="1250" w:type="pct"/>
          </w:tcPr>
          <w:p w14:paraId="00E2F4B4" w14:textId="79B143AE" w:rsidR="00FD44B4" w:rsidRDefault="00FD44B4" w:rsidP="00ED5CEE">
            <w:r>
              <w:t>VAT returns prepared and submitted in accordance with HMRC deadlines</w:t>
            </w:r>
            <w:r w:rsidR="000B7C52">
              <w:t>.</w:t>
            </w:r>
          </w:p>
          <w:p w14:paraId="1DD260D4" w14:textId="53D3A6C2" w:rsidR="00FD44B4" w:rsidRDefault="00FD44B4" w:rsidP="00ED5CEE">
            <w:r>
              <w:t>Regular reconciliation of VAT records with financial accounts</w:t>
            </w:r>
            <w:r w:rsidR="000B7C52">
              <w:t>.</w:t>
            </w:r>
          </w:p>
          <w:p w14:paraId="2AD96AC7" w14:textId="650A3657" w:rsidR="00FD44B4" w:rsidRDefault="00FD44B4" w:rsidP="00ED5CEE">
            <w:r>
              <w:t>Staff/Clerk training on VAT rules and updates</w:t>
            </w:r>
            <w:r w:rsidR="000B7C52">
              <w:t>.</w:t>
            </w:r>
          </w:p>
          <w:p w14:paraId="71E21763" w14:textId="77777777" w:rsidR="00FD44B4" w:rsidRDefault="00FD44B4" w:rsidP="00ED5CEE">
            <w:r>
              <w:t>Periodic review by internal auditor.</w:t>
            </w:r>
          </w:p>
        </w:tc>
        <w:tc>
          <w:tcPr>
            <w:tcW w:w="500" w:type="pct"/>
          </w:tcPr>
          <w:p w14:paraId="09A83747" w14:textId="77777777" w:rsidR="00FD44B4" w:rsidRDefault="00FD44B4" w:rsidP="00ED5CEE">
            <w:r>
              <w:t>RFO</w:t>
            </w:r>
          </w:p>
        </w:tc>
        <w:tc>
          <w:tcPr>
            <w:tcW w:w="500" w:type="pct"/>
          </w:tcPr>
          <w:p w14:paraId="155D55DE" w14:textId="77777777" w:rsidR="00FD44B4" w:rsidRDefault="00FD44B4" w:rsidP="00ED5CEE">
            <w:r>
              <w:t>Low</w:t>
            </w:r>
          </w:p>
        </w:tc>
        <w:tc>
          <w:tcPr>
            <w:tcW w:w="500" w:type="pct"/>
          </w:tcPr>
          <w:p w14:paraId="38B3EC88" w14:textId="77777777" w:rsidR="00FD44B4" w:rsidRDefault="00FD44B4" w:rsidP="00ED5CEE">
            <w:r>
              <w:t>Annual</w:t>
            </w:r>
          </w:p>
        </w:tc>
      </w:tr>
      <w:tr w:rsidR="000B7C52" w14:paraId="4973C58D" w14:textId="77777777" w:rsidTr="007A46A0">
        <w:trPr>
          <w:cantSplit/>
        </w:trPr>
        <w:tc>
          <w:tcPr>
            <w:tcW w:w="750" w:type="pct"/>
          </w:tcPr>
          <w:p w14:paraId="5273C8AE" w14:textId="77777777" w:rsidR="00FD44B4" w:rsidRDefault="00FD44B4" w:rsidP="00ED5CEE">
            <w:r>
              <w:t>Fraud / misappropriation</w:t>
            </w:r>
          </w:p>
        </w:tc>
        <w:tc>
          <w:tcPr>
            <w:tcW w:w="500" w:type="pct"/>
          </w:tcPr>
          <w:p w14:paraId="3EE69DBE" w14:textId="77777777" w:rsidR="00FD44B4" w:rsidRDefault="00FD44B4" w:rsidP="00ED5CEE">
            <w:r>
              <w:t>1</w:t>
            </w:r>
          </w:p>
        </w:tc>
        <w:tc>
          <w:tcPr>
            <w:tcW w:w="500" w:type="pct"/>
          </w:tcPr>
          <w:p w14:paraId="303E5665" w14:textId="77777777" w:rsidR="00FD44B4" w:rsidRDefault="00FD44B4" w:rsidP="00ED5CEE">
            <w:r>
              <w:t>3</w:t>
            </w:r>
          </w:p>
        </w:tc>
        <w:tc>
          <w:tcPr>
            <w:tcW w:w="500" w:type="pct"/>
          </w:tcPr>
          <w:p w14:paraId="62852865" w14:textId="77777777" w:rsidR="00FD44B4" w:rsidRDefault="00FD44B4" w:rsidP="00ED5CEE">
            <w:r>
              <w:t>3</w:t>
            </w:r>
          </w:p>
        </w:tc>
        <w:tc>
          <w:tcPr>
            <w:tcW w:w="1250" w:type="pct"/>
          </w:tcPr>
          <w:p w14:paraId="409DCBCD" w14:textId="35464D24" w:rsidR="000B7C52" w:rsidRDefault="00FD44B4" w:rsidP="00ED5CEE">
            <w:r>
              <w:t>Insurance</w:t>
            </w:r>
            <w:r w:rsidR="000B7C52">
              <w:t>.</w:t>
            </w:r>
          </w:p>
          <w:p w14:paraId="6C6246F4" w14:textId="159CA3D8" w:rsidR="000B7C52" w:rsidRDefault="000B7C52" w:rsidP="00ED5CEE">
            <w:r>
              <w:t>S</w:t>
            </w:r>
            <w:r w:rsidR="00FD44B4">
              <w:t>egregation of duties</w:t>
            </w:r>
            <w:r>
              <w:t>.</w:t>
            </w:r>
          </w:p>
          <w:p w14:paraId="296BA460" w14:textId="7DDCAB18" w:rsidR="00FD44B4" w:rsidRDefault="000B7C52" w:rsidP="00ED5CEE">
            <w:r>
              <w:t>C</w:t>
            </w:r>
            <w:r w:rsidR="00FD44B4">
              <w:t>ouncillor checks</w:t>
            </w:r>
            <w:r>
              <w:t>.</w:t>
            </w:r>
          </w:p>
        </w:tc>
        <w:tc>
          <w:tcPr>
            <w:tcW w:w="500" w:type="pct"/>
          </w:tcPr>
          <w:p w14:paraId="218DD01E" w14:textId="77777777" w:rsidR="00FD44B4" w:rsidRDefault="00FD44B4" w:rsidP="00ED5CEE">
            <w:r>
              <w:t>Council</w:t>
            </w:r>
          </w:p>
        </w:tc>
        <w:tc>
          <w:tcPr>
            <w:tcW w:w="500" w:type="pct"/>
          </w:tcPr>
          <w:p w14:paraId="5875CF30" w14:textId="77777777" w:rsidR="00FD44B4" w:rsidRDefault="00FD44B4" w:rsidP="00ED5CEE">
            <w:r>
              <w:t>Low</w:t>
            </w:r>
          </w:p>
        </w:tc>
        <w:tc>
          <w:tcPr>
            <w:tcW w:w="500" w:type="pct"/>
          </w:tcPr>
          <w:p w14:paraId="3A9A386F" w14:textId="77777777" w:rsidR="00FD44B4" w:rsidRDefault="00FD44B4" w:rsidP="00ED5CEE">
            <w:r>
              <w:t>Annual</w:t>
            </w:r>
          </w:p>
        </w:tc>
      </w:tr>
      <w:tr w:rsidR="000B7C52" w14:paraId="12231516" w14:textId="77777777" w:rsidTr="007A46A0">
        <w:trPr>
          <w:cantSplit/>
        </w:trPr>
        <w:tc>
          <w:tcPr>
            <w:tcW w:w="750" w:type="pct"/>
          </w:tcPr>
          <w:p w14:paraId="796E9A25" w14:textId="77777777" w:rsidR="00FD44B4" w:rsidRDefault="00FD44B4" w:rsidP="00ED5CEE">
            <w:r>
              <w:lastRenderedPageBreak/>
              <w:t>Income controls</w:t>
            </w:r>
          </w:p>
        </w:tc>
        <w:tc>
          <w:tcPr>
            <w:tcW w:w="500" w:type="pct"/>
          </w:tcPr>
          <w:p w14:paraId="231C7B2C" w14:textId="77777777" w:rsidR="00FD44B4" w:rsidRDefault="00FD44B4" w:rsidP="00ED5CEE">
            <w:r>
              <w:t>2</w:t>
            </w:r>
          </w:p>
        </w:tc>
        <w:tc>
          <w:tcPr>
            <w:tcW w:w="500" w:type="pct"/>
          </w:tcPr>
          <w:p w14:paraId="16AE1909" w14:textId="77777777" w:rsidR="00FD44B4" w:rsidRDefault="00FD44B4" w:rsidP="00ED5CEE">
            <w:r>
              <w:t>2</w:t>
            </w:r>
          </w:p>
        </w:tc>
        <w:tc>
          <w:tcPr>
            <w:tcW w:w="500" w:type="pct"/>
          </w:tcPr>
          <w:p w14:paraId="30031DC6" w14:textId="77777777" w:rsidR="00FD44B4" w:rsidRDefault="00FD44B4" w:rsidP="00ED5CEE">
            <w:r>
              <w:t>4</w:t>
            </w:r>
          </w:p>
        </w:tc>
        <w:tc>
          <w:tcPr>
            <w:tcW w:w="1250" w:type="pct"/>
          </w:tcPr>
          <w:p w14:paraId="149DDA95" w14:textId="727E99BC" w:rsidR="000B7C52" w:rsidRDefault="00FD44B4" w:rsidP="00ED5CEE">
            <w:r>
              <w:t>Receipts logged</w:t>
            </w:r>
            <w:r w:rsidR="000B7C52">
              <w:t xml:space="preserve"> &amp; </w:t>
            </w:r>
            <w:r>
              <w:t>banked promptly</w:t>
            </w:r>
            <w:r w:rsidR="000B7C52">
              <w:t>.</w:t>
            </w:r>
          </w:p>
          <w:p w14:paraId="029A14EB" w14:textId="048B63C1" w:rsidR="00FD44B4" w:rsidRDefault="000B7C52" w:rsidP="00ED5CEE">
            <w:r>
              <w:t>I</w:t>
            </w:r>
            <w:r w:rsidR="00FD44B4">
              <w:t>ncome monitored against budget</w:t>
            </w:r>
            <w:r>
              <w:t>.</w:t>
            </w:r>
          </w:p>
        </w:tc>
        <w:tc>
          <w:tcPr>
            <w:tcW w:w="500" w:type="pct"/>
          </w:tcPr>
          <w:p w14:paraId="6C2122A2" w14:textId="77777777" w:rsidR="00FD44B4" w:rsidRDefault="00FD44B4" w:rsidP="00ED5CEE">
            <w:r>
              <w:t>RFO</w:t>
            </w:r>
          </w:p>
        </w:tc>
        <w:tc>
          <w:tcPr>
            <w:tcW w:w="500" w:type="pct"/>
          </w:tcPr>
          <w:p w14:paraId="4E3A8196" w14:textId="77777777" w:rsidR="00FD44B4" w:rsidRDefault="00FD44B4" w:rsidP="00ED5CEE">
            <w:r>
              <w:t>Low</w:t>
            </w:r>
          </w:p>
        </w:tc>
        <w:tc>
          <w:tcPr>
            <w:tcW w:w="500" w:type="pct"/>
          </w:tcPr>
          <w:p w14:paraId="358A3514" w14:textId="77777777" w:rsidR="00FD44B4" w:rsidRDefault="00FD44B4" w:rsidP="00ED5CEE">
            <w:r>
              <w:t>Quarterly</w:t>
            </w:r>
          </w:p>
        </w:tc>
      </w:tr>
      <w:tr w:rsidR="000B7C52" w14:paraId="34A49802" w14:textId="77777777" w:rsidTr="007A46A0">
        <w:trPr>
          <w:cantSplit/>
        </w:trPr>
        <w:tc>
          <w:tcPr>
            <w:tcW w:w="750" w:type="pct"/>
          </w:tcPr>
          <w:p w14:paraId="66ECB825" w14:textId="77777777" w:rsidR="00FD44B4" w:rsidRDefault="00FD44B4" w:rsidP="00ED5CEE">
            <w:r>
              <w:t>Insurance adequacy</w:t>
            </w:r>
          </w:p>
        </w:tc>
        <w:tc>
          <w:tcPr>
            <w:tcW w:w="500" w:type="pct"/>
          </w:tcPr>
          <w:p w14:paraId="22614467" w14:textId="77777777" w:rsidR="00FD44B4" w:rsidRDefault="00FD44B4" w:rsidP="00ED5CEE">
            <w:r>
              <w:t>1</w:t>
            </w:r>
          </w:p>
        </w:tc>
        <w:tc>
          <w:tcPr>
            <w:tcW w:w="500" w:type="pct"/>
          </w:tcPr>
          <w:p w14:paraId="0889D88C" w14:textId="77777777" w:rsidR="00FD44B4" w:rsidRDefault="00FD44B4" w:rsidP="00ED5CEE">
            <w:r>
              <w:t>3</w:t>
            </w:r>
          </w:p>
        </w:tc>
        <w:tc>
          <w:tcPr>
            <w:tcW w:w="500" w:type="pct"/>
          </w:tcPr>
          <w:p w14:paraId="2B451E05" w14:textId="77777777" w:rsidR="00FD44B4" w:rsidRDefault="00FD44B4" w:rsidP="00ED5CEE">
            <w:r>
              <w:t>3</w:t>
            </w:r>
          </w:p>
        </w:tc>
        <w:tc>
          <w:tcPr>
            <w:tcW w:w="1250" w:type="pct"/>
          </w:tcPr>
          <w:p w14:paraId="50FE1334" w14:textId="31AE3DF3" w:rsidR="000B7C52" w:rsidRDefault="00FD44B4" w:rsidP="00ED5CEE">
            <w:r>
              <w:t>Annual insurance review</w:t>
            </w:r>
            <w:r w:rsidR="000B7C52">
              <w:t>.</w:t>
            </w:r>
          </w:p>
          <w:p w14:paraId="159D7146" w14:textId="59DDEBDC" w:rsidR="00FD44B4" w:rsidRDefault="00FD44B4" w:rsidP="00ED5CEE">
            <w:r>
              <w:t>Asset Register maintained, cover levels checked</w:t>
            </w:r>
            <w:r w:rsidR="000B7C52">
              <w:t>.</w:t>
            </w:r>
          </w:p>
        </w:tc>
        <w:tc>
          <w:tcPr>
            <w:tcW w:w="500" w:type="pct"/>
          </w:tcPr>
          <w:p w14:paraId="540F3A88" w14:textId="77777777" w:rsidR="00FD44B4" w:rsidRDefault="00FD44B4" w:rsidP="00ED5CEE">
            <w:r>
              <w:t>Council</w:t>
            </w:r>
          </w:p>
        </w:tc>
        <w:tc>
          <w:tcPr>
            <w:tcW w:w="500" w:type="pct"/>
          </w:tcPr>
          <w:p w14:paraId="674564C5" w14:textId="77777777" w:rsidR="00FD44B4" w:rsidRDefault="00FD44B4" w:rsidP="00ED5CEE">
            <w:r>
              <w:t>Low</w:t>
            </w:r>
          </w:p>
        </w:tc>
        <w:tc>
          <w:tcPr>
            <w:tcW w:w="500" w:type="pct"/>
          </w:tcPr>
          <w:p w14:paraId="6C37D2F3" w14:textId="77777777" w:rsidR="00FD44B4" w:rsidRDefault="00FD44B4" w:rsidP="00ED5CEE">
            <w:r>
              <w:t>Annual</w:t>
            </w:r>
          </w:p>
        </w:tc>
      </w:tr>
      <w:tr w:rsidR="000B7C52" w14:paraId="0C55EBAB" w14:textId="77777777" w:rsidTr="007A46A0">
        <w:trPr>
          <w:cantSplit/>
        </w:trPr>
        <w:tc>
          <w:tcPr>
            <w:tcW w:w="750" w:type="pct"/>
          </w:tcPr>
          <w:p w14:paraId="29685593" w14:textId="77777777" w:rsidR="00FD44B4" w:rsidRDefault="00FD44B4" w:rsidP="00ED5CEE">
            <w:r>
              <w:t>Loss of payroll data</w:t>
            </w:r>
          </w:p>
        </w:tc>
        <w:tc>
          <w:tcPr>
            <w:tcW w:w="500" w:type="pct"/>
          </w:tcPr>
          <w:p w14:paraId="22A7C1DE" w14:textId="77777777" w:rsidR="00FD44B4" w:rsidRDefault="00FD44B4" w:rsidP="00ED5CEE">
            <w:r>
              <w:t>1</w:t>
            </w:r>
          </w:p>
        </w:tc>
        <w:tc>
          <w:tcPr>
            <w:tcW w:w="500" w:type="pct"/>
          </w:tcPr>
          <w:p w14:paraId="18C536D8" w14:textId="77777777" w:rsidR="00FD44B4" w:rsidRDefault="00FD44B4" w:rsidP="00ED5CEE">
            <w:r>
              <w:t>2</w:t>
            </w:r>
          </w:p>
        </w:tc>
        <w:tc>
          <w:tcPr>
            <w:tcW w:w="500" w:type="pct"/>
          </w:tcPr>
          <w:p w14:paraId="60D5C419" w14:textId="77777777" w:rsidR="00FD44B4" w:rsidRDefault="00FD44B4" w:rsidP="00ED5CEE">
            <w:r>
              <w:t>2</w:t>
            </w:r>
          </w:p>
        </w:tc>
        <w:tc>
          <w:tcPr>
            <w:tcW w:w="1250" w:type="pct"/>
          </w:tcPr>
          <w:p w14:paraId="359BCBDF" w14:textId="35BAC9D6" w:rsidR="000B7C52" w:rsidRDefault="00FD44B4" w:rsidP="00ED5CEE">
            <w:r>
              <w:t>PAYE Tools backed up</w:t>
            </w:r>
            <w:r w:rsidR="000B7C52">
              <w:t>.</w:t>
            </w:r>
          </w:p>
          <w:p w14:paraId="03D0E5CD" w14:textId="1E4E1CFD" w:rsidR="00FD44B4" w:rsidRDefault="000B7C52" w:rsidP="00ED5CEE">
            <w:r>
              <w:t>C</w:t>
            </w:r>
            <w:r w:rsidR="00FD44B4">
              <w:t>ouncillor access to HMRC</w:t>
            </w:r>
            <w:r>
              <w:t>.</w:t>
            </w:r>
          </w:p>
        </w:tc>
        <w:tc>
          <w:tcPr>
            <w:tcW w:w="500" w:type="pct"/>
          </w:tcPr>
          <w:p w14:paraId="000CA079" w14:textId="77777777" w:rsidR="00FD44B4" w:rsidRDefault="00FD44B4" w:rsidP="00ED5CEE">
            <w:r>
              <w:t>RFO</w:t>
            </w:r>
          </w:p>
        </w:tc>
        <w:tc>
          <w:tcPr>
            <w:tcW w:w="500" w:type="pct"/>
          </w:tcPr>
          <w:p w14:paraId="7F7501DE" w14:textId="77777777" w:rsidR="00FD44B4" w:rsidRDefault="00FD44B4" w:rsidP="00ED5CEE">
            <w:r>
              <w:t>Low</w:t>
            </w:r>
          </w:p>
        </w:tc>
        <w:tc>
          <w:tcPr>
            <w:tcW w:w="500" w:type="pct"/>
          </w:tcPr>
          <w:p w14:paraId="46D59F87" w14:textId="77777777" w:rsidR="00FD44B4" w:rsidRDefault="00FD44B4" w:rsidP="00ED5CEE">
            <w:r>
              <w:t>Annual</w:t>
            </w:r>
          </w:p>
        </w:tc>
      </w:tr>
      <w:tr w:rsidR="000B7C52" w14:paraId="30A15393" w14:textId="77777777" w:rsidTr="007A46A0">
        <w:trPr>
          <w:cantSplit/>
        </w:trPr>
        <w:tc>
          <w:tcPr>
            <w:tcW w:w="750" w:type="pct"/>
          </w:tcPr>
          <w:p w14:paraId="10E82628" w14:textId="77777777" w:rsidR="00FD44B4" w:rsidRDefault="00FD44B4" w:rsidP="00ED5CEE">
            <w:r>
              <w:t>Mismanagement of funds (covers: bookkeeping, purchase orders, purchase payments, bank reconciliation)</w:t>
            </w:r>
          </w:p>
        </w:tc>
        <w:tc>
          <w:tcPr>
            <w:tcW w:w="500" w:type="pct"/>
          </w:tcPr>
          <w:p w14:paraId="350C88C6" w14:textId="77777777" w:rsidR="00FD44B4" w:rsidRDefault="00FD44B4" w:rsidP="00ED5CEE">
            <w:r>
              <w:t>1</w:t>
            </w:r>
          </w:p>
        </w:tc>
        <w:tc>
          <w:tcPr>
            <w:tcW w:w="500" w:type="pct"/>
          </w:tcPr>
          <w:p w14:paraId="3CE7EF45" w14:textId="77777777" w:rsidR="00FD44B4" w:rsidRDefault="00FD44B4" w:rsidP="00ED5CEE">
            <w:r>
              <w:t>3</w:t>
            </w:r>
          </w:p>
        </w:tc>
        <w:tc>
          <w:tcPr>
            <w:tcW w:w="500" w:type="pct"/>
          </w:tcPr>
          <w:p w14:paraId="28D2EDA7" w14:textId="77777777" w:rsidR="00FD44B4" w:rsidRDefault="00FD44B4" w:rsidP="00ED5CEE">
            <w:r>
              <w:t>3</w:t>
            </w:r>
          </w:p>
        </w:tc>
        <w:tc>
          <w:tcPr>
            <w:tcW w:w="1250" w:type="pct"/>
          </w:tcPr>
          <w:p w14:paraId="1060E2EB" w14:textId="42C86EC4" w:rsidR="000B7C52" w:rsidRDefault="00FD44B4" w:rsidP="00ED5CEE">
            <w:r>
              <w:t>Budgeting, monthly reports</w:t>
            </w:r>
            <w:r w:rsidR="000B7C52">
              <w:t>.</w:t>
            </w:r>
          </w:p>
          <w:p w14:paraId="4D7D067E" w14:textId="0FC2E499" w:rsidR="000B7C52" w:rsidRDefault="000B7C52" w:rsidP="00ED5CEE">
            <w:r>
              <w:t>D</w:t>
            </w:r>
            <w:r w:rsidR="00FD44B4">
              <w:t>ual authorisation</w:t>
            </w:r>
            <w:r>
              <w:t>.</w:t>
            </w:r>
          </w:p>
          <w:p w14:paraId="3EF3F35D" w14:textId="4F3A6F0B" w:rsidR="00FD44B4" w:rsidRDefault="000B7C52" w:rsidP="00ED5CEE">
            <w:r>
              <w:t>B</w:t>
            </w:r>
            <w:r w:rsidR="00FD44B4">
              <w:t>ank rec checks</w:t>
            </w:r>
            <w:r>
              <w:t>.</w:t>
            </w:r>
          </w:p>
        </w:tc>
        <w:tc>
          <w:tcPr>
            <w:tcW w:w="500" w:type="pct"/>
          </w:tcPr>
          <w:p w14:paraId="2FCC0C81" w14:textId="77777777" w:rsidR="00FD44B4" w:rsidRDefault="00FD44B4" w:rsidP="00ED5CEE">
            <w:r>
              <w:t>RFO</w:t>
            </w:r>
          </w:p>
        </w:tc>
        <w:tc>
          <w:tcPr>
            <w:tcW w:w="500" w:type="pct"/>
          </w:tcPr>
          <w:p w14:paraId="420882E9" w14:textId="77777777" w:rsidR="00FD44B4" w:rsidRDefault="00FD44B4" w:rsidP="00ED5CEE">
            <w:r>
              <w:t>Low</w:t>
            </w:r>
          </w:p>
        </w:tc>
        <w:tc>
          <w:tcPr>
            <w:tcW w:w="500" w:type="pct"/>
          </w:tcPr>
          <w:p w14:paraId="5B92FA83" w14:textId="77777777" w:rsidR="00FD44B4" w:rsidRDefault="00FD44B4" w:rsidP="00ED5CEE">
            <w:r>
              <w:t>Quarterly</w:t>
            </w:r>
          </w:p>
        </w:tc>
      </w:tr>
      <w:tr w:rsidR="003714D4" w14:paraId="7F7A9864" w14:textId="77777777" w:rsidTr="007A46A0">
        <w:trPr>
          <w:cantSplit/>
        </w:trPr>
        <w:tc>
          <w:tcPr>
            <w:tcW w:w="750" w:type="pct"/>
          </w:tcPr>
          <w:p w14:paraId="4D05A5B7" w14:textId="61B52339" w:rsidR="003714D4" w:rsidRDefault="003714D4" w:rsidP="00ED5CEE">
            <w:r w:rsidRPr="003714D4">
              <w:t>Over-run of allocated budget on PC approved projects (E.G. IT, Maintenance, etc</w:t>
            </w:r>
            <w:r>
              <w:t>)</w:t>
            </w:r>
          </w:p>
        </w:tc>
        <w:tc>
          <w:tcPr>
            <w:tcW w:w="500" w:type="pct"/>
          </w:tcPr>
          <w:p w14:paraId="6CB32DF3" w14:textId="4B2EABF2" w:rsidR="003714D4" w:rsidRDefault="003714D4" w:rsidP="00ED5CEE">
            <w:r>
              <w:t>3</w:t>
            </w:r>
          </w:p>
        </w:tc>
        <w:tc>
          <w:tcPr>
            <w:tcW w:w="500" w:type="pct"/>
          </w:tcPr>
          <w:p w14:paraId="30F6C6A1" w14:textId="58874E6F" w:rsidR="003714D4" w:rsidRDefault="003714D4" w:rsidP="00ED5CEE">
            <w:r>
              <w:t>2</w:t>
            </w:r>
          </w:p>
        </w:tc>
        <w:tc>
          <w:tcPr>
            <w:tcW w:w="500" w:type="pct"/>
          </w:tcPr>
          <w:p w14:paraId="062ED201" w14:textId="6DD623F7" w:rsidR="003714D4" w:rsidRDefault="003714D4" w:rsidP="00ED5CEE">
            <w:r>
              <w:t>6</w:t>
            </w:r>
          </w:p>
        </w:tc>
        <w:tc>
          <w:tcPr>
            <w:tcW w:w="1250" w:type="pct"/>
          </w:tcPr>
          <w:p w14:paraId="076219F7" w14:textId="77777777" w:rsidR="003714D4" w:rsidRDefault="003714D4" w:rsidP="00ED5CEE">
            <w:r w:rsidRPr="003714D4">
              <w:t>Document scope of original project in minutes along with hours/costs agreed.</w:t>
            </w:r>
          </w:p>
          <w:p w14:paraId="4D3B16BA" w14:textId="147F4373" w:rsidR="003714D4" w:rsidRDefault="003714D4" w:rsidP="00ED5CEE">
            <w:r w:rsidRPr="003714D4">
              <w:t xml:space="preserve">Review </w:t>
            </w:r>
            <w:proofErr w:type="gramStart"/>
            <w:r w:rsidRPr="003714D4">
              <w:t>project’s</w:t>
            </w:r>
            <w:proofErr w:type="gramEnd"/>
            <w:r w:rsidRPr="003714D4">
              <w:t xml:space="preserve"> spend against plan on monthly basis and inform council of any deviations to scope or budget</w:t>
            </w:r>
            <w:r>
              <w:t>.</w:t>
            </w:r>
          </w:p>
        </w:tc>
        <w:tc>
          <w:tcPr>
            <w:tcW w:w="500" w:type="pct"/>
          </w:tcPr>
          <w:p w14:paraId="6EE3B768" w14:textId="31C0EE1E" w:rsidR="003714D4" w:rsidRDefault="003714D4" w:rsidP="00ED5CEE">
            <w:r w:rsidRPr="003714D4">
              <w:t>RFO</w:t>
            </w:r>
          </w:p>
        </w:tc>
        <w:tc>
          <w:tcPr>
            <w:tcW w:w="500" w:type="pct"/>
          </w:tcPr>
          <w:p w14:paraId="310008D1" w14:textId="1804B2BA" w:rsidR="003714D4" w:rsidRDefault="003714D4" w:rsidP="00ED5CEE">
            <w:r w:rsidRPr="003714D4">
              <w:t>Low</w:t>
            </w:r>
          </w:p>
        </w:tc>
        <w:tc>
          <w:tcPr>
            <w:tcW w:w="500" w:type="pct"/>
          </w:tcPr>
          <w:p w14:paraId="695F1377" w14:textId="0C4BD7DC" w:rsidR="003714D4" w:rsidRDefault="003714D4" w:rsidP="00ED5CEE">
            <w:r w:rsidRPr="003714D4">
              <w:t>Annual</w:t>
            </w:r>
          </w:p>
        </w:tc>
      </w:tr>
      <w:tr w:rsidR="000B7C52" w14:paraId="1A2ECA53" w14:textId="77777777" w:rsidTr="007A46A0">
        <w:trPr>
          <w:cantSplit/>
        </w:trPr>
        <w:tc>
          <w:tcPr>
            <w:tcW w:w="750" w:type="pct"/>
          </w:tcPr>
          <w:p w14:paraId="1510D955" w14:textId="77777777" w:rsidR="00FD44B4" w:rsidRDefault="00FD44B4" w:rsidP="00ED5CEE">
            <w:r>
              <w:t>Payroll accuracy</w:t>
            </w:r>
          </w:p>
        </w:tc>
        <w:tc>
          <w:tcPr>
            <w:tcW w:w="500" w:type="pct"/>
          </w:tcPr>
          <w:p w14:paraId="426E4428" w14:textId="77777777" w:rsidR="00FD44B4" w:rsidRDefault="00FD44B4" w:rsidP="00ED5CEE">
            <w:r>
              <w:t>1</w:t>
            </w:r>
          </w:p>
        </w:tc>
        <w:tc>
          <w:tcPr>
            <w:tcW w:w="500" w:type="pct"/>
          </w:tcPr>
          <w:p w14:paraId="1B3987CD" w14:textId="77777777" w:rsidR="00FD44B4" w:rsidRDefault="00FD44B4" w:rsidP="00ED5CEE">
            <w:r>
              <w:t>2</w:t>
            </w:r>
          </w:p>
        </w:tc>
        <w:tc>
          <w:tcPr>
            <w:tcW w:w="500" w:type="pct"/>
          </w:tcPr>
          <w:p w14:paraId="091B9213" w14:textId="77777777" w:rsidR="00FD44B4" w:rsidRDefault="00FD44B4" w:rsidP="00ED5CEE">
            <w:r>
              <w:t>2</w:t>
            </w:r>
          </w:p>
        </w:tc>
        <w:tc>
          <w:tcPr>
            <w:tcW w:w="1250" w:type="pct"/>
          </w:tcPr>
          <w:p w14:paraId="3AF1BCF8" w14:textId="4ED151C2" w:rsidR="000B7C52" w:rsidRDefault="00FD44B4" w:rsidP="00ED5CEE">
            <w:r>
              <w:t>PAYE Tools used</w:t>
            </w:r>
            <w:r w:rsidR="000B7C52">
              <w:t>.</w:t>
            </w:r>
          </w:p>
          <w:p w14:paraId="6CB4257D" w14:textId="0B762760" w:rsidR="000B7C52" w:rsidRDefault="000B7C52" w:rsidP="00ED5CEE">
            <w:r>
              <w:t>P</w:t>
            </w:r>
            <w:r w:rsidR="00FD44B4">
              <w:t>ayslips issued</w:t>
            </w:r>
            <w:r>
              <w:t xml:space="preserve"> &amp; stored.</w:t>
            </w:r>
          </w:p>
          <w:p w14:paraId="01BFAB23" w14:textId="46FA4D59" w:rsidR="00FD44B4" w:rsidRDefault="000B7C52" w:rsidP="00ED5CEE">
            <w:r>
              <w:t>C</w:t>
            </w:r>
            <w:r w:rsidR="00FD44B4">
              <w:t>ouncillor oversight</w:t>
            </w:r>
            <w:r>
              <w:t>.</w:t>
            </w:r>
          </w:p>
        </w:tc>
        <w:tc>
          <w:tcPr>
            <w:tcW w:w="500" w:type="pct"/>
          </w:tcPr>
          <w:p w14:paraId="31151517" w14:textId="77777777" w:rsidR="00FD44B4" w:rsidRDefault="00FD44B4" w:rsidP="00ED5CEE">
            <w:r>
              <w:t>RFO</w:t>
            </w:r>
          </w:p>
        </w:tc>
        <w:tc>
          <w:tcPr>
            <w:tcW w:w="500" w:type="pct"/>
          </w:tcPr>
          <w:p w14:paraId="10D6CFC1" w14:textId="77777777" w:rsidR="00FD44B4" w:rsidRDefault="00FD44B4" w:rsidP="00ED5CEE">
            <w:r>
              <w:t>Low</w:t>
            </w:r>
          </w:p>
        </w:tc>
        <w:tc>
          <w:tcPr>
            <w:tcW w:w="500" w:type="pct"/>
          </w:tcPr>
          <w:p w14:paraId="675A9C65" w14:textId="77777777" w:rsidR="00FD44B4" w:rsidRDefault="00FD44B4" w:rsidP="00ED5CEE">
            <w:r>
              <w:t>Annual</w:t>
            </w:r>
          </w:p>
        </w:tc>
      </w:tr>
      <w:tr w:rsidR="003714D4" w14:paraId="030DA628" w14:textId="77777777" w:rsidTr="007A46A0">
        <w:trPr>
          <w:cantSplit/>
        </w:trPr>
        <w:tc>
          <w:tcPr>
            <w:tcW w:w="750" w:type="pct"/>
          </w:tcPr>
          <w:p w14:paraId="02FE474E" w14:textId="625289E3" w:rsidR="003714D4" w:rsidRDefault="003714D4" w:rsidP="00ED5CEE">
            <w:r>
              <w:lastRenderedPageBreak/>
              <w:t>P</w:t>
            </w:r>
            <w:r w:rsidRPr="003714D4">
              <w:t>ossible liability as the trustee for the Village Hall</w:t>
            </w:r>
          </w:p>
        </w:tc>
        <w:tc>
          <w:tcPr>
            <w:tcW w:w="500" w:type="pct"/>
          </w:tcPr>
          <w:p w14:paraId="70021CAD" w14:textId="1380C16E" w:rsidR="003714D4" w:rsidRDefault="003714D4" w:rsidP="00ED5CEE">
            <w:r>
              <w:t>2</w:t>
            </w:r>
          </w:p>
        </w:tc>
        <w:tc>
          <w:tcPr>
            <w:tcW w:w="500" w:type="pct"/>
          </w:tcPr>
          <w:p w14:paraId="1C131289" w14:textId="26654DA3" w:rsidR="003714D4" w:rsidRDefault="003714D4" w:rsidP="00ED5CEE">
            <w:r>
              <w:t>3</w:t>
            </w:r>
          </w:p>
        </w:tc>
        <w:tc>
          <w:tcPr>
            <w:tcW w:w="500" w:type="pct"/>
          </w:tcPr>
          <w:p w14:paraId="22BADBBA" w14:textId="176035B7" w:rsidR="003714D4" w:rsidRDefault="003714D4" w:rsidP="00ED5CEE">
            <w:r>
              <w:t>6</w:t>
            </w:r>
          </w:p>
        </w:tc>
        <w:tc>
          <w:tcPr>
            <w:tcW w:w="1250" w:type="pct"/>
          </w:tcPr>
          <w:p w14:paraId="758C2CC2" w14:textId="76683E39" w:rsidR="003714D4" w:rsidRDefault="003714D4" w:rsidP="00ED5CEE">
            <w:r w:rsidRPr="003714D4">
              <w:t>Annual insurance review.</w:t>
            </w:r>
          </w:p>
        </w:tc>
        <w:tc>
          <w:tcPr>
            <w:tcW w:w="500" w:type="pct"/>
          </w:tcPr>
          <w:p w14:paraId="1D9E058A" w14:textId="039D6827" w:rsidR="003714D4" w:rsidRDefault="003714D4" w:rsidP="00ED5CEE">
            <w:r>
              <w:t>RFO</w:t>
            </w:r>
          </w:p>
        </w:tc>
        <w:tc>
          <w:tcPr>
            <w:tcW w:w="500" w:type="pct"/>
          </w:tcPr>
          <w:p w14:paraId="52474ABC" w14:textId="0BE4F454" w:rsidR="003714D4" w:rsidRDefault="003714D4" w:rsidP="00ED5CEE">
            <w:r>
              <w:t>Low</w:t>
            </w:r>
          </w:p>
        </w:tc>
        <w:tc>
          <w:tcPr>
            <w:tcW w:w="500" w:type="pct"/>
          </w:tcPr>
          <w:p w14:paraId="140AF2B4" w14:textId="795845CC" w:rsidR="003714D4" w:rsidRDefault="003714D4" w:rsidP="00ED5CEE">
            <w:r>
              <w:t>Annual</w:t>
            </w:r>
          </w:p>
        </w:tc>
      </w:tr>
      <w:tr w:rsidR="000B7C52" w14:paraId="2434299D" w14:textId="77777777" w:rsidTr="007A46A0">
        <w:trPr>
          <w:cantSplit/>
        </w:trPr>
        <w:tc>
          <w:tcPr>
            <w:tcW w:w="750" w:type="pct"/>
          </w:tcPr>
          <w:p w14:paraId="1014A0C1" w14:textId="77777777" w:rsidR="00FD44B4" w:rsidRDefault="00FD44B4" w:rsidP="00ED5CEE">
            <w:r>
              <w:t>Unlawful expenditure</w:t>
            </w:r>
          </w:p>
        </w:tc>
        <w:tc>
          <w:tcPr>
            <w:tcW w:w="500" w:type="pct"/>
          </w:tcPr>
          <w:p w14:paraId="0267D459" w14:textId="77777777" w:rsidR="00FD44B4" w:rsidRDefault="00FD44B4" w:rsidP="00ED5CEE">
            <w:r>
              <w:t>1</w:t>
            </w:r>
          </w:p>
        </w:tc>
        <w:tc>
          <w:tcPr>
            <w:tcW w:w="500" w:type="pct"/>
          </w:tcPr>
          <w:p w14:paraId="644A11B4" w14:textId="77777777" w:rsidR="00FD44B4" w:rsidRDefault="00FD44B4" w:rsidP="00ED5CEE">
            <w:r>
              <w:t>2</w:t>
            </w:r>
          </w:p>
        </w:tc>
        <w:tc>
          <w:tcPr>
            <w:tcW w:w="500" w:type="pct"/>
          </w:tcPr>
          <w:p w14:paraId="08960927" w14:textId="77777777" w:rsidR="00FD44B4" w:rsidRDefault="00FD44B4" w:rsidP="00ED5CEE">
            <w:r>
              <w:t>2</w:t>
            </w:r>
          </w:p>
        </w:tc>
        <w:tc>
          <w:tcPr>
            <w:tcW w:w="1250" w:type="pct"/>
          </w:tcPr>
          <w:p w14:paraId="27B2B7EA" w14:textId="77777777" w:rsidR="000B7C52" w:rsidRDefault="00FD44B4" w:rsidP="00ED5CEE">
            <w:r>
              <w:t>Payment by cheque only with two signatories.</w:t>
            </w:r>
          </w:p>
          <w:p w14:paraId="7EE9D0B7" w14:textId="5F25C4C3" w:rsidR="00FD44B4" w:rsidRDefault="00FD44B4" w:rsidP="00ED5CEE">
            <w:r>
              <w:t>Powers recorded in minutes, updated Financial Reg</w:t>
            </w:r>
            <w:r w:rsidR="000B7C52">
              <w:t>ulation</w:t>
            </w:r>
            <w:r>
              <w:t>s</w:t>
            </w:r>
            <w:r w:rsidR="000B7C52">
              <w:t>.</w:t>
            </w:r>
          </w:p>
        </w:tc>
        <w:tc>
          <w:tcPr>
            <w:tcW w:w="500" w:type="pct"/>
          </w:tcPr>
          <w:p w14:paraId="6AF8FB7B" w14:textId="77777777" w:rsidR="00FD44B4" w:rsidRDefault="00FD44B4" w:rsidP="00ED5CEE">
            <w:r>
              <w:t>RFO</w:t>
            </w:r>
          </w:p>
        </w:tc>
        <w:tc>
          <w:tcPr>
            <w:tcW w:w="500" w:type="pct"/>
          </w:tcPr>
          <w:p w14:paraId="6CD49963" w14:textId="77777777" w:rsidR="00FD44B4" w:rsidRDefault="00FD44B4" w:rsidP="00ED5CEE">
            <w:r>
              <w:t>Low</w:t>
            </w:r>
          </w:p>
        </w:tc>
        <w:tc>
          <w:tcPr>
            <w:tcW w:w="500" w:type="pct"/>
          </w:tcPr>
          <w:p w14:paraId="330D66F9" w14:textId="77777777" w:rsidR="00FD44B4" w:rsidRDefault="00FD44B4" w:rsidP="00ED5CEE">
            <w:r>
              <w:t>Annual</w:t>
            </w:r>
          </w:p>
        </w:tc>
      </w:tr>
      <w:tr w:rsidR="000B7C52" w14:paraId="4C56F2CA" w14:textId="77777777" w:rsidTr="007A46A0">
        <w:trPr>
          <w:cantSplit/>
        </w:trPr>
        <w:tc>
          <w:tcPr>
            <w:tcW w:w="750" w:type="pct"/>
          </w:tcPr>
          <w:p w14:paraId="002D26A2" w14:textId="77777777" w:rsidR="00FD44B4" w:rsidRDefault="00FD44B4" w:rsidP="00ED5CEE">
            <w:r>
              <w:t>Year-end accounts accuracy</w:t>
            </w:r>
          </w:p>
        </w:tc>
        <w:tc>
          <w:tcPr>
            <w:tcW w:w="500" w:type="pct"/>
          </w:tcPr>
          <w:p w14:paraId="5F2FC9F9" w14:textId="77777777" w:rsidR="00FD44B4" w:rsidRDefault="00FD44B4" w:rsidP="00ED5CEE">
            <w:r>
              <w:t>1</w:t>
            </w:r>
          </w:p>
        </w:tc>
        <w:tc>
          <w:tcPr>
            <w:tcW w:w="500" w:type="pct"/>
          </w:tcPr>
          <w:p w14:paraId="47644D58" w14:textId="77777777" w:rsidR="00FD44B4" w:rsidRDefault="00FD44B4" w:rsidP="00ED5CEE">
            <w:r>
              <w:t>3</w:t>
            </w:r>
          </w:p>
        </w:tc>
        <w:tc>
          <w:tcPr>
            <w:tcW w:w="500" w:type="pct"/>
          </w:tcPr>
          <w:p w14:paraId="6DF802CE" w14:textId="77777777" w:rsidR="00FD44B4" w:rsidRDefault="00FD44B4" w:rsidP="00ED5CEE">
            <w:r>
              <w:t>3</w:t>
            </w:r>
          </w:p>
        </w:tc>
        <w:tc>
          <w:tcPr>
            <w:tcW w:w="1250" w:type="pct"/>
          </w:tcPr>
          <w:p w14:paraId="7F84E30C" w14:textId="65A04201" w:rsidR="000B7C52" w:rsidRDefault="00FD44B4" w:rsidP="00ED5CEE">
            <w:r>
              <w:t>Accounts prepared to audit standard</w:t>
            </w:r>
            <w:r w:rsidR="000B7C52">
              <w:t xml:space="preserve"> &amp; </w:t>
            </w:r>
            <w:r>
              <w:t>reviewed by Council</w:t>
            </w:r>
            <w:r w:rsidR="000B7C52">
              <w:t>.</w:t>
            </w:r>
          </w:p>
          <w:p w14:paraId="5E9090DF" w14:textId="24AB95D8" w:rsidR="00FD44B4" w:rsidRDefault="000B7C52" w:rsidP="00ED5CEE">
            <w:r>
              <w:t>I</w:t>
            </w:r>
            <w:r w:rsidR="00FD44B4">
              <w:t>nternal audit</w:t>
            </w:r>
            <w:r>
              <w:t>.</w:t>
            </w:r>
          </w:p>
        </w:tc>
        <w:tc>
          <w:tcPr>
            <w:tcW w:w="500" w:type="pct"/>
          </w:tcPr>
          <w:p w14:paraId="6B12948C" w14:textId="77777777" w:rsidR="00FD44B4" w:rsidRDefault="00FD44B4" w:rsidP="00ED5CEE">
            <w:r>
              <w:t>RFO</w:t>
            </w:r>
          </w:p>
        </w:tc>
        <w:tc>
          <w:tcPr>
            <w:tcW w:w="500" w:type="pct"/>
          </w:tcPr>
          <w:p w14:paraId="42D9C162" w14:textId="77777777" w:rsidR="00FD44B4" w:rsidRDefault="00FD44B4" w:rsidP="00ED5CEE">
            <w:r>
              <w:t>Low</w:t>
            </w:r>
          </w:p>
        </w:tc>
        <w:tc>
          <w:tcPr>
            <w:tcW w:w="500" w:type="pct"/>
          </w:tcPr>
          <w:p w14:paraId="36DCB6A0" w14:textId="77777777" w:rsidR="00FD44B4" w:rsidRDefault="00FD44B4" w:rsidP="00ED5CEE">
            <w:r>
              <w:t>Annual</w:t>
            </w:r>
          </w:p>
        </w:tc>
      </w:tr>
    </w:tbl>
    <w:p w14:paraId="2FACA1F5" w14:textId="3D7C0526" w:rsidR="006A685D" w:rsidRPr="00A21A81" w:rsidRDefault="006A685D" w:rsidP="000B7C52">
      <w:pPr>
        <w:pStyle w:val="Subheading"/>
      </w:pPr>
      <w:r w:rsidRPr="00A21A81">
        <w:t>Business Continuity</w:t>
      </w:r>
    </w:p>
    <w:tbl>
      <w:tblPr>
        <w:tblStyle w:val="TableGrid"/>
        <w:tblW w:w="5000" w:type="pct"/>
        <w:tblLook w:val="0620" w:firstRow="1" w:lastRow="0" w:firstColumn="0" w:lastColumn="0" w:noHBand="1" w:noVBand="1"/>
      </w:tblPr>
      <w:tblGrid>
        <w:gridCol w:w="2337"/>
        <w:gridCol w:w="1403"/>
        <w:gridCol w:w="1345"/>
        <w:gridCol w:w="1346"/>
        <w:gridCol w:w="3439"/>
        <w:gridCol w:w="1347"/>
        <w:gridCol w:w="1347"/>
        <w:gridCol w:w="1384"/>
      </w:tblGrid>
      <w:tr w:rsidR="000B7C52" w:rsidRPr="00A21A81" w14:paraId="00DEB1FC" w14:textId="77777777" w:rsidTr="007A46A0">
        <w:trPr>
          <w:cantSplit/>
        </w:trPr>
        <w:tc>
          <w:tcPr>
            <w:tcW w:w="750" w:type="pct"/>
          </w:tcPr>
          <w:p w14:paraId="6C5578F7" w14:textId="77777777" w:rsidR="00FD44B4" w:rsidRPr="00A21A81" w:rsidRDefault="00FD44B4" w:rsidP="000B7C52">
            <w:pPr>
              <w:keepNext/>
              <w:rPr>
                <w:rStyle w:val="Strong"/>
              </w:rPr>
            </w:pPr>
            <w:r w:rsidRPr="00A21A81">
              <w:rPr>
                <w:rStyle w:val="Strong"/>
              </w:rPr>
              <w:t>Risk</w:t>
            </w:r>
          </w:p>
        </w:tc>
        <w:tc>
          <w:tcPr>
            <w:tcW w:w="500" w:type="pct"/>
          </w:tcPr>
          <w:p w14:paraId="260E957E" w14:textId="77777777" w:rsidR="00FD44B4" w:rsidRPr="00A21A81" w:rsidRDefault="00FD44B4" w:rsidP="000B7C52">
            <w:pPr>
              <w:keepNext/>
              <w:rPr>
                <w:rStyle w:val="Strong"/>
              </w:rPr>
            </w:pPr>
            <w:r w:rsidRPr="00A21A81">
              <w:rPr>
                <w:rStyle w:val="Strong"/>
              </w:rPr>
              <w:t>Likelihood</w:t>
            </w:r>
          </w:p>
        </w:tc>
        <w:tc>
          <w:tcPr>
            <w:tcW w:w="500" w:type="pct"/>
          </w:tcPr>
          <w:p w14:paraId="1889BCB2" w14:textId="77777777" w:rsidR="00FD44B4" w:rsidRPr="00A21A81" w:rsidRDefault="00FD44B4" w:rsidP="000B7C52">
            <w:pPr>
              <w:keepNext/>
              <w:rPr>
                <w:rStyle w:val="Strong"/>
              </w:rPr>
            </w:pPr>
            <w:r w:rsidRPr="00A21A81">
              <w:rPr>
                <w:rStyle w:val="Strong"/>
              </w:rPr>
              <w:t>Impact</w:t>
            </w:r>
          </w:p>
        </w:tc>
        <w:tc>
          <w:tcPr>
            <w:tcW w:w="500" w:type="pct"/>
          </w:tcPr>
          <w:p w14:paraId="7718BBCC" w14:textId="77777777" w:rsidR="00FD44B4" w:rsidRPr="00A21A81" w:rsidRDefault="00FD44B4" w:rsidP="000B7C52">
            <w:pPr>
              <w:keepNext/>
              <w:rPr>
                <w:rStyle w:val="Strong"/>
              </w:rPr>
            </w:pPr>
            <w:r w:rsidRPr="00A21A81">
              <w:rPr>
                <w:rStyle w:val="Strong"/>
              </w:rPr>
              <w:t>Rating</w:t>
            </w:r>
          </w:p>
        </w:tc>
        <w:tc>
          <w:tcPr>
            <w:tcW w:w="1250" w:type="pct"/>
          </w:tcPr>
          <w:p w14:paraId="0AE977B9" w14:textId="77777777" w:rsidR="00FD44B4" w:rsidRPr="00A21A81" w:rsidRDefault="00FD44B4" w:rsidP="000B7C52">
            <w:pPr>
              <w:keepNext/>
              <w:rPr>
                <w:rStyle w:val="Strong"/>
              </w:rPr>
            </w:pPr>
            <w:r w:rsidRPr="00A21A81">
              <w:rPr>
                <w:rStyle w:val="Strong"/>
              </w:rPr>
              <w:t>Controls</w:t>
            </w:r>
          </w:p>
        </w:tc>
        <w:tc>
          <w:tcPr>
            <w:tcW w:w="500" w:type="pct"/>
          </w:tcPr>
          <w:p w14:paraId="39A2BC5D" w14:textId="77777777" w:rsidR="00FD44B4" w:rsidRPr="00A21A81" w:rsidRDefault="00FD44B4" w:rsidP="000B7C52">
            <w:pPr>
              <w:keepNext/>
              <w:rPr>
                <w:rStyle w:val="Strong"/>
              </w:rPr>
            </w:pPr>
            <w:r w:rsidRPr="00A21A81">
              <w:rPr>
                <w:rStyle w:val="Strong"/>
              </w:rPr>
              <w:t>Owner</w:t>
            </w:r>
          </w:p>
        </w:tc>
        <w:tc>
          <w:tcPr>
            <w:tcW w:w="500" w:type="pct"/>
          </w:tcPr>
          <w:p w14:paraId="3321128E" w14:textId="77777777" w:rsidR="00FD44B4" w:rsidRPr="00A21A81" w:rsidRDefault="00FD44B4" w:rsidP="000B7C52">
            <w:pPr>
              <w:keepNext/>
              <w:rPr>
                <w:rStyle w:val="Strong"/>
              </w:rPr>
            </w:pPr>
            <w:r w:rsidRPr="00A21A81">
              <w:rPr>
                <w:rStyle w:val="Strong"/>
              </w:rPr>
              <w:t>Residual Risk</w:t>
            </w:r>
          </w:p>
        </w:tc>
        <w:tc>
          <w:tcPr>
            <w:tcW w:w="500" w:type="pct"/>
          </w:tcPr>
          <w:p w14:paraId="16D1921A" w14:textId="77777777" w:rsidR="00FD44B4" w:rsidRPr="00A21A81" w:rsidRDefault="00FD44B4" w:rsidP="000B7C52">
            <w:pPr>
              <w:keepNext/>
              <w:rPr>
                <w:rStyle w:val="Strong"/>
              </w:rPr>
            </w:pPr>
            <w:r w:rsidRPr="00A21A81">
              <w:rPr>
                <w:rStyle w:val="Strong"/>
              </w:rPr>
              <w:t>Review Frequency</w:t>
            </w:r>
          </w:p>
        </w:tc>
      </w:tr>
      <w:tr w:rsidR="000B7C52" w14:paraId="29EA0676" w14:textId="77777777" w:rsidTr="007A46A0">
        <w:trPr>
          <w:cantSplit/>
        </w:trPr>
        <w:tc>
          <w:tcPr>
            <w:tcW w:w="750" w:type="pct"/>
          </w:tcPr>
          <w:p w14:paraId="7A5ECF69" w14:textId="77777777" w:rsidR="00FD44B4" w:rsidRDefault="00FD44B4" w:rsidP="00ED5CEE">
            <w:r>
              <w:t>Clerk absence (illness/resignation)</w:t>
            </w:r>
          </w:p>
        </w:tc>
        <w:tc>
          <w:tcPr>
            <w:tcW w:w="500" w:type="pct"/>
          </w:tcPr>
          <w:p w14:paraId="2247D833" w14:textId="77777777" w:rsidR="00FD44B4" w:rsidRDefault="00FD44B4" w:rsidP="00ED5CEE">
            <w:r>
              <w:t>1</w:t>
            </w:r>
          </w:p>
        </w:tc>
        <w:tc>
          <w:tcPr>
            <w:tcW w:w="500" w:type="pct"/>
          </w:tcPr>
          <w:p w14:paraId="393DCE81" w14:textId="77777777" w:rsidR="00FD44B4" w:rsidRDefault="00FD44B4" w:rsidP="00ED5CEE">
            <w:r>
              <w:t>3</w:t>
            </w:r>
          </w:p>
        </w:tc>
        <w:tc>
          <w:tcPr>
            <w:tcW w:w="500" w:type="pct"/>
          </w:tcPr>
          <w:p w14:paraId="13280AA0" w14:textId="77777777" w:rsidR="00FD44B4" w:rsidRDefault="00FD44B4" w:rsidP="00ED5CEE">
            <w:r>
              <w:t>3</w:t>
            </w:r>
          </w:p>
        </w:tc>
        <w:tc>
          <w:tcPr>
            <w:tcW w:w="1250" w:type="pct"/>
          </w:tcPr>
          <w:p w14:paraId="022C54DA" w14:textId="0DFFAD64" w:rsidR="00FD44B4" w:rsidRDefault="000B7C52" w:rsidP="00ED5CEE">
            <w:r>
              <w:t>D</w:t>
            </w:r>
            <w:r w:rsidR="00FD44B4">
              <w:t>ocumented procedures</w:t>
            </w:r>
            <w:r>
              <w:t>.</w:t>
            </w:r>
          </w:p>
        </w:tc>
        <w:tc>
          <w:tcPr>
            <w:tcW w:w="500" w:type="pct"/>
          </w:tcPr>
          <w:p w14:paraId="79BFCF90" w14:textId="77777777" w:rsidR="00FD44B4" w:rsidRDefault="00FD44B4" w:rsidP="00ED5CEE">
            <w:r>
              <w:t>Council</w:t>
            </w:r>
          </w:p>
        </w:tc>
        <w:tc>
          <w:tcPr>
            <w:tcW w:w="500" w:type="pct"/>
          </w:tcPr>
          <w:p w14:paraId="4E8AB323" w14:textId="77777777" w:rsidR="00FD44B4" w:rsidRDefault="00FD44B4" w:rsidP="00ED5CEE">
            <w:r>
              <w:t>Medium</w:t>
            </w:r>
          </w:p>
        </w:tc>
        <w:tc>
          <w:tcPr>
            <w:tcW w:w="500" w:type="pct"/>
          </w:tcPr>
          <w:p w14:paraId="3E359D8D" w14:textId="77777777" w:rsidR="00FD44B4" w:rsidRDefault="00FD44B4" w:rsidP="00ED5CEE">
            <w:r>
              <w:t>Annual</w:t>
            </w:r>
          </w:p>
        </w:tc>
      </w:tr>
      <w:tr w:rsidR="000B7C52" w14:paraId="41565B89" w14:textId="77777777" w:rsidTr="007A46A0">
        <w:trPr>
          <w:cantSplit/>
        </w:trPr>
        <w:tc>
          <w:tcPr>
            <w:tcW w:w="750" w:type="pct"/>
          </w:tcPr>
          <w:p w14:paraId="1206A759" w14:textId="77777777" w:rsidR="00FD44B4" w:rsidRDefault="00FD44B4" w:rsidP="00ED5CEE">
            <w:r w:rsidRPr="00CE54F2">
              <w:lastRenderedPageBreak/>
              <w:t>Cyber-attack or data breach resulting in loss or compromise of council data.</w:t>
            </w:r>
          </w:p>
        </w:tc>
        <w:tc>
          <w:tcPr>
            <w:tcW w:w="500" w:type="pct"/>
          </w:tcPr>
          <w:p w14:paraId="244EC9F1" w14:textId="77777777" w:rsidR="00FD44B4" w:rsidRDefault="00FD44B4" w:rsidP="00ED5CEE">
            <w:r>
              <w:t>1</w:t>
            </w:r>
          </w:p>
        </w:tc>
        <w:tc>
          <w:tcPr>
            <w:tcW w:w="500" w:type="pct"/>
          </w:tcPr>
          <w:p w14:paraId="7DA5D666" w14:textId="77777777" w:rsidR="00FD44B4" w:rsidRDefault="00FD44B4" w:rsidP="00ED5CEE">
            <w:r>
              <w:t>3</w:t>
            </w:r>
          </w:p>
        </w:tc>
        <w:tc>
          <w:tcPr>
            <w:tcW w:w="500" w:type="pct"/>
          </w:tcPr>
          <w:p w14:paraId="5E1EFB91" w14:textId="77777777" w:rsidR="00FD44B4" w:rsidRDefault="00FD44B4" w:rsidP="00ED5CEE">
            <w:r>
              <w:t>3</w:t>
            </w:r>
          </w:p>
        </w:tc>
        <w:tc>
          <w:tcPr>
            <w:tcW w:w="1250" w:type="pct"/>
          </w:tcPr>
          <w:p w14:paraId="65A5D4E5" w14:textId="77777777" w:rsidR="00FD44B4" w:rsidRDefault="00FD44B4" w:rsidP="00ED5CEE">
            <w:r>
              <w:t>Use of strong, regularly updated passwords and two-factor authentication where available.</w:t>
            </w:r>
          </w:p>
          <w:p w14:paraId="25E552A0" w14:textId="77777777" w:rsidR="00FD44B4" w:rsidRDefault="00FD44B4" w:rsidP="00ED5CEE">
            <w:r>
              <w:t>Regular software and security updates on all devices.</w:t>
            </w:r>
          </w:p>
          <w:p w14:paraId="699F7A25" w14:textId="77777777" w:rsidR="00FD44B4" w:rsidRDefault="00FD44B4" w:rsidP="00ED5CEE">
            <w:r>
              <w:t>Cloud-based and encrypted backups.</w:t>
            </w:r>
          </w:p>
          <w:p w14:paraId="261DDC39" w14:textId="77777777" w:rsidR="00FD44B4" w:rsidRDefault="00FD44B4" w:rsidP="00ED5CEE">
            <w:r>
              <w:t>Staff awareness training on phishing and cyber threats.</w:t>
            </w:r>
          </w:p>
          <w:p w14:paraId="62963712" w14:textId="77777777" w:rsidR="00FD44B4" w:rsidRDefault="00FD44B4" w:rsidP="00ED5CEE">
            <w:r>
              <w:t>Incident response plan in place.</w:t>
            </w:r>
          </w:p>
        </w:tc>
        <w:tc>
          <w:tcPr>
            <w:tcW w:w="500" w:type="pct"/>
          </w:tcPr>
          <w:p w14:paraId="37CB8881" w14:textId="77777777" w:rsidR="00FD44B4" w:rsidRDefault="00FD44B4" w:rsidP="00ED5CEE">
            <w:r>
              <w:t>Clerk</w:t>
            </w:r>
          </w:p>
        </w:tc>
        <w:tc>
          <w:tcPr>
            <w:tcW w:w="500" w:type="pct"/>
          </w:tcPr>
          <w:p w14:paraId="164083F9" w14:textId="77777777" w:rsidR="00FD44B4" w:rsidRDefault="00FD44B4" w:rsidP="00ED5CEE">
            <w:r>
              <w:t>Medium</w:t>
            </w:r>
          </w:p>
        </w:tc>
        <w:tc>
          <w:tcPr>
            <w:tcW w:w="500" w:type="pct"/>
          </w:tcPr>
          <w:p w14:paraId="4413A965" w14:textId="77777777" w:rsidR="00FD44B4" w:rsidRDefault="00FD44B4" w:rsidP="00ED5CEE">
            <w:r>
              <w:t>Annual</w:t>
            </w:r>
          </w:p>
        </w:tc>
      </w:tr>
      <w:tr w:rsidR="000B7C52" w14:paraId="37A337F1" w14:textId="77777777" w:rsidTr="007A46A0">
        <w:trPr>
          <w:cantSplit/>
        </w:trPr>
        <w:tc>
          <w:tcPr>
            <w:tcW w:w="750" w:type="pct"/>
          </w:tcPr>
          <w:p w14:paraId="29027A6D" w14:textId="77777777" w:rsidR="00FD44B4" w:rsidRDefault="00FD44B4" w:rsidP="00ED5CEE">
            <w:r>
              <w:t>Fire/flood</w:t>
            </w:r>
          </w:p>
        </w:tc>
        <w:tc>
          <w:tcPr>
            <w:tcW w:w="500" w:type="pct"/>
          </w:tcPr>
          <w:p w14:paraId="5F1F7167" w14:textId="77777777" w:rsidR="00FD44B4" w:rsidRDefault="00FD44B4" w:rsidP="00ED5CEE">
            <w:r>
              <w:t>1</w:t>
            </w:r>
          </w:p>
        </w:tc>
        <w:tc>
          <w:tcPr>
            <w:tcW w:w="500" w:type="pct"/>
          </w:tcPr>
          <w:p w14:paraId="544E5309" w14:textId="77777777" w:rsidR="00FD44B4" w:rsidRDefault="00FD44B4" w:rsidP="00ED5CEE">
            <w:r>
              <w:t>3</w:t>
            </w:r>
          </w:p>
        </w:tc>
        <w:tc>
          <w:tcPr>
            <w:tcW w:w="500" w:type="pct"/>
          </w:tcPr>
          <w:p w14:paraId="5BD45935" w14:textId="77777777" w:rsidR="00FD44B4" w:rsidRDefault="00FD44B4" w:rsidP="00ED5CEE">
            <w:r>
              <w:t>3</w:t>
            </w:r>
          </w:p>
        </w:tc>
        <w:tc>
          <w:tcPr>
            <w:tcW w:w="1250" w:type="pct"/>
          </w:tcPr>
          <w:p w14:paraId="0D760D69" w14:textId="1B0818BE" w:rsidR="000B7C52" w:rsidRDefault="00FD44B4" w:rsidP="00ED5CEE">
            <w:r>
              <w:t>Insurance</w:t>
            </w:r>
            <w:r w:rsidR="000B7C52">
              <w:t>.</w:t>
            </w:r>
          </w:p>
          <w:p w14:paraId="7C6F3764" w14:textId="546DA92B" w:rsidR="00FD44B4" w:rsidRDefault="000B7C52" w:rsidP="00ED5CEE">
            <w:r w:rsidRPr="000B7C52">
              <w:t xml:space="preserve">Cloud </w:t>
            </w:r>
            <w:r w:rsidR="00FD44B4">
              <w:t>backups</w:t>
            </w:r>
            <w:r>
              <w:t>.</w:t>
            </w:r>
          </w:p>
        </w:tc>
        <w:tc>
          <w:tcPr>
            <w:tcW w:w="500" w:type="pct"/>
          </w:tcPr>
          <w:p w14:paraId="51AD022B" w14:textId="77777777" w:rsidR="00FD44B4" w:rsidRDefault="00FD44B4" w:rsidP="00ED5CEE">
            <w:r>
              <w:t>Council</w:t>
            </w:r>
          </w:p>
        </w:tc>
        <w:tc>
          <w:tcPr>
            <w:tcW w:w="500" w:type="pct"/>
          </w:tcPr>
          <w:p w14:paraId="75391BC9" w14:textId="77777777" w:rsidR="00FD44B4" w:rsidRDefault="00FD44B4" w:rsidP="00ED5CEE">
            <w:r>
              <w:t>Low</w:t>
            </w:r>
          </w:p>
        </w:tc>
        <w:tc>
          <w:tcPr>
            <w:tcW w:w="500" w:type="pct"/>
          </w:tcPr>
          <w:p w14:paraId="2AEBEB00" w14:textId="77777777" w:rsidR="00FD44B4" w:rsidRDefault="00FD44B4" w:rsidP="00ED5CEE">
            <w:r>
              <w:t>Annual</w:t>
            </w:r>
          </w:p>
        </w:tc>
      </w:tr>
      <w:tr w:rsidR="000B7C52" w14:paraId="37C983F2" w14:textId="77777777" w:rsidTr="007A46A0">
        <w:trPr>
          <w:cantSplit/>
        </w:trPr>
        <w:tc>
          <w:tcPr>
            <w:tcW w:w="750" w:type="pct"/>
          </w:tcPr>
          <w:p w14:paraId="0BA5E355" w14:textId="77777777" w:rsidR="00FD44B4" w:rsidRDefault="00FD44B4" w:rsidP="00ED5CEE">
            <w:r>
              <w:t>Loss of electronic documents</w:t>
            </w:r>
          </w:p>
        </w:tc>
        <w:tc>
          <w:tcPr>
            <w:tcW w:w="500" w:type="pct"/>
          </w:tcPr>
          <w:p w14:paraId="760EF1FE" w14:textId="77777777" w:rsidR="00FD44B4" w:rsidRDefault="00FD44B4" w:rsidP="00ED5CEE">
            <w:r>
              <w:t>1</w:t>
            </w:r>
          </w:p>
        </w:tc>
        <w:tc>
          <w:tcPr>
            <w:tcW w:w="500" w:type="pct"/>
          </w:tcPr>
          <w:p w14:paraId="36668D5E" w14:textId="77777777" w:rsidR="00FD44B4" w:rsidRDefault="00FD44B4" w:rsidP="00ED5CEE">
            <w:r>
              <w:t>3</w:t>
            </w:r>
          </w:p>
        </w:tc>
        <w:tc>
          <w:tcPr>
            <w:tcW w:w="500" w:type="pct"/>
          </w:tcPr>
          <w:p w14:paraId="174A1ECD" w14:textId="77777777" w:rsidR="00FD44B4" w:rsidRDefault="00FD44B4" w:rsidP="00ED5CEE">
            <w:r>
              <w:t>3</w:t>
            </w:r>
          </w:p>
        </w:tc>
        <w:tc>
          <w:tcPr>
            <w:tcW w:w="1250" w:type="pct"/>
          </w:tcPr>
          <w:p w14:paraId="7F227997" w14:textId="4E9A0032" w:rsidR="000B7C52" w:rsidRDefault="00FD44B4" w:rsidP="00ED5CEE">
            <w:r>
              <w:t>Cloud</w:t>
            </w:r>
            <w:r w:rsidR="000B7C52">
              <w:t xml:space="preserve"> </w:t>
            </w:r>
            <w:r>
              <w:t>backups</w:t>
            </w:r>
            <w:r w:rsidR="000B7C52">
              <w:t>.</w:t>
            </w:r>
          </w:p>
          <w:p w14:paraId="118C552C" w14:textId="689F9EBF" w:rsidR="00FD44B4" w:rsidRDefault="000B7C52" w:rsidP="00ED5CEE">
            <w:r>
              <w:t>D</w:t>
            </w:r>
            <w:r w:rsidR="00FD44B4">
              <w:t>edicated laptop</w:t>
            </w:r>
            <w:r>
              <w:t>.</w:t>
            </w:r>
          </w:p>
        </w:tc>
        <w:tc>
          <w:tcPr>
            <w:tcW w:w="500" w:type="pct"/>
          </w:tcPr>
          <w:p w14:paraId="4FAC4363" w14:textId="77777777" w:rsidR="00FD44B4" w:rsidRDefault="00FD44B4" w:rsidP="00ED5CEE">
            <w:r>
              <w:t>Clerk</w:t>
            </w:r>
          </w:p>
        </w:tc>
        <w:tc>
          <w:tcPr>
            <w:tcW w:w="500" w:type="pct"/>
          </w:tcPr>
          <w:p w14:paraId="1EA214F8" w14:textId="77777777" w:rsidR="00FD44B4" w:rsidRDefault="00FD44B4" w:rsidP="00ED5CEE">
            <w:r>
              <w:t>Medium</w:t>
            </w:r>
          </w:p>
        </w:tc>
        <w:tc>
          <w:tcPr>
            <w:tcW w:w="500" w:type="pct"/>
          </w:tcPr>
          <w:p w14:paraId="05C027F5" w14:textId="31D7E304" w:rsidR="00FD44B4" w:rsidRPr="00736360" w:rsidRDefault="00FD44B4" w:rsidP="00ED5CEE">
            <w:pPr>
              <w:rPr>
                <w:strike/>
              </w:rPr>
            </w:pPr>
            <w:r>
              <w:t>Annual</w:t>
            </w:r>
          </w:p>
        </w:tc>
      </w:tr>
      <w:tr w:rsidR="000B7C52" w14:paraId="40ED7290" w14:textId="77777777" w:rsidTr="007A46A0">
        <w:trPr>
          <w:cantSplit/>
        </w:trPr>
        <w:tc>
          <w:tcPr>
            <w:tcW w:w="750" w:type="pct"/>
          </w:tcPr>
          <w:p w14:paraId="48D7BF9E" w14:textId="77777777" w:rsidR="00FD44B4" w:rsidRDefault="00FD44B4" w:rsidP="00ED5CEE">
            <w:r>
              <w:t>Loss of paper records</w:t>
            </w:r>
          </w:p>
        </w:tc>
        <w:tc>
          <w:tcPr>
            <w:tcW w:w="500" w:type="pct"/>
          </w:tcPr>
          <w:p w14:paraId="17DEEF09" w14:textId="77777777" w:rsidR="00FD44B4" w:rsidRDefault="00FD44B4" w:rsidP="00ED5CEE">
            <w:r>
              <w:t>1</w:t>
            </w:r>
          </w:p>
        </w:tc>
        <w:tc>
          <w:tcPr>
            <w:tcW w:w="500" w:type="pct"/>
          </w:tcPr>
          <w:p w14:paraId="5E84EF8E" w14:textId="77777777" w:rsidR="00FD44B4" w:rsidRDefault="00FD44B4" w:rsidP="00ED5CEE">
            <w:r>
              <w:t>2</w:t>
            </w:r>
          </w:p>
        </w:tc>
        <w:tc>
          <w:tcPr>
            <w:tcW w:w="500" w:type="pct"/>
          </w:tcPr>
          <w:p w14:paraId="2CE6F8C6" w14:textId="77777777" w:rsidR="00FD44B4" w:rsidRDefault="00FD44B4" w:rsidP="00ED5CEE">
            <w:r>
              <w:t>2</w:t>
            </w:r>
          </w:p>
        </w:tc>
        <w:tc>
          <w:tcPr>
            <w:tcW w:w="1250" w:type="pct"/>
          </w:tcPr>
          <w:p w14:paraId="58792535" w14:textId="296C2F6F" w:rsidR="000B7C52" w:rsidRDefault="00FD44B4" w:rsidP="00ED5CEE">
            <w:r>
              <w:t>Retention policy</w:t>
            </w:r>
            <w:r w:rsidR="000B7C52">
              <w:t>.</w:t>
            </w:r>
          </w:p>
          <w:p w14:paraId="06225BFB" w14:textId="12718E49" w:rsidR="000B7C52" w:rsidRDefault="000B7C52" w:rsidP="00ED5CEE">
            <w:r>
              <w:t>A</w:t>
            </w:r>
            <w:r w:rsidR="00FD44B4">
              <w:t>rchive storage</w:t>
            </w:r>
            <w:r>
              <w:t>.</w:t>
            </w:r>
          </w:p>
          <w:p w14:paraId="33E283C5" w14:textId="08391F47" w:rsidR="00FD44B4" w:rsidRDefault="000B7C52" w:rsidP="00ED5CEE">
            <w:r>
              <w:t>S</w:t>
            </w:r>
            <w:r w:rsidR="00FD44B4">
              <w:t>ecure disposal</w:t>
            </w:r>
            <w:r>
              <w:t>.</w:t>
            </w:r>
          </w:p>
        </w:tc>
        <w:tc>
          <w:tcPr>
            <w:tcW w:w="500" w:type="pct"/>
          </w:tcPr>
          <w:p w14:paraId="13E5ED1E" w14:textId="77777777" w:rsidR="00FD44B4" w:rsidRDefault="00FD44B4" w:rsidP="00ED5CEE">
            <w:r>
              <w:t>Clerk</w:t>
            </w:r>
          </w:p>
        </w:tc>
        <w:tc>
          <w:tcPr>
            <w:tcW w:w="500" w:type="pct"/>
          </w:tcPr>
          <w:p w14:paraId="76C6557D" w14:textId="77777777" w:rsidR="00FD44B4" w:rsidRDefault="00FD44B4" w:rsidP="00ED5CEE">
            <w:r>
              <w:t>Low</w:t>
            </w:r>
          </w:p>
        </w:tc>
        <w:tc>
          <w:tcPr>
            <w:tcW w:w="500" w:type="pct"/>
          </w:tcPr>
          <w:p w14:paraId="31CA8217" w14:textId="77777777" w:rsidR="00FD44B4" w:rsidRDefault="00FD44B4" w:rsidP="00ED5CEE">
            <w:r>
              <w:t>Annual</w:t>
            </w:r>
          </w:p>
        </w:tc>
      </w:tr>
    </w:tbl>
    <w:p w14:paraId="7D672022" w14:textId="7AEEECA2" w:rsidR="006A685D" w:rsidRPr="00A21A81" w:rsidRDefault="006A685D" w:rsidP="00A21A81">
      <w:pPr>
        <w:pStyle w:val="Subheading"/>
      </w:pPr>
      <w:r w:rsidRPr="00A21A81">
        <w:lastRenderedPageBreak/>
        <w:t>Amenity &amp; Land Risks</w:t>
      </w:r>
    </w:p>
    <w:tbl>
      <w:tblPr>
        <w:tblStyle w:val="TableGrid"/>
        <w:tblW w:w="5000" w:type="pct"/>
        <w:tblLook w:val="0620" w:firstRow="1" w:lastRow="0" w:firstColumn="0" w:lastColumn="0" w:noHBand="1" w:noVBand="1"/>
      </w:tblPr>
      <w:tblGrid>
        <w:gridCol w:w="2090"/>
        <w:gridCol w:w="1403"/>
        <w:gridCol w:w="1393"/>
        <w:gridCol w:w="1394"/>
        <w:gridCol w:w="3486"/>
        <w:gridCol w:w="1394"/>
        <w:gridCol w:w="1394"/>
        <w:gridCol w:w="1394"/>
      </w:tblGrid>
      <w:tr w:rsidR="007A46A0" w:rsidRPr="00A21A81" w14:paraId="0523B36C" w14:textId="77777777" w:rsidTr="007A46A0">
        <w:trPr>
          <w:cantSplit/>
          <w:tblHeader/>
        </w:trPr>
        <w:tc>
          <w:tcPr>
            <w:tcW w:w="750" w:type="pct"/>
          </w:tcPr>
          <w:p w14:paraId="2AA6703E" w14:textId="77777777" w:rsidR="00FD44B4" w:rsidRPr="00A21A81" w:rsidRDefault="00FD44B4" w:rsidP="00A21A81">
            <w:pPr>
              <w:keepNext/>
              <w:rPr>
                <w:rStyle w:val="Strong"/>
              </w:rPr>
            </w:pPr>
            <w:r w:rsidRPr="00A21A81">
              <w:rPr>
                <w:rStyle w:val="Strong"/>
              </w:rPr>
              <w:t>Risk</w:t>
            </w:r>
          </w:p>
        </w:tc>
        <w:tc>
          <w:tcPr>
            <w:tcW w:w="500" w:type="pct"/>
          </w:tcPr>
          <w:p w14:paraId="4E2CD4F6" w14:textId="77777777" w:rsidR="00FD44B4" w:rsidRPr="00A21A81" w:rsidRDefault="00FD44B4" w:rsidP="00A21A81">
            <w:pPr>
              <w:keepNext/>
              <w:rPr>
                <w:rStyle w:val="Strong"/>
              </w:rPr>
            </w:pPr>
            <w:r w:rsidRPr="00A21A81">
              <w:rPr>
                <w:rStyle w:val="Strong"/>
              </w:rPr>
              <w:t>Likelihood</w:t>
            </w:r>
          </w:p>
        </w:tc>
        <w:tc>
          <w:tcPr>
            <w:tcW w:w="500" w:type="pct"/>
          </w:tcPr>
          <w:p w14:paraId="28F2C46D" w14:textId="77777777" w:rsidR="00FD44B4" w:rsidRPr="00A21A81" w:rsidRDefault="00FD44B4" w:rsidP="00A21A81">
            <w:pPr>
              <w:keepNext/>
              <w:rPr>
                <w:rStyle w:val="Strong"/>
              </w:rPr>
            </w:pPr>
            <w:r w:rsidRPr="00A21A81">
              <w:rPr>
                <w:rStyle w:val="Strong"/>
              </w:rPr>
              <w:t>Impact</w:t>
            </w:r>
          </w:p>
        </w:tc>
        <w:tc>
          <w:tcPr>
            <w:tcW w:w="500" w:type="pct"/>
          </w:tcPr>
          <w:p w14:paraId="04664206" w14:textId="77777777" w:rsidR="00FD44B4" w:rsidRPr="00A21A81" w:rsidRDefault="00FD44B4" w:rsidP="00A21A81">
            <w:pPr>
              <w:keepNext/>
              <w:rPr>
                <w:rStyle w:val="Strong"/>
              </w:rPr>
            </w:pPr>
            <w:r w:rsidRPr="00A21A81">
              <w:rPr>
                <w:rStyle w:val="Strong"/>
              </w:rPr>
              <w:t>Rating</w:t>
            </w:r>
          </w:p>
        </w:tc>
        <w:tc>
          <w:tcPr>
            <w:tcW w:w="1250" w:type="pct"/>
          </w:tcPr>
          <w:p w14:paraId="61FF8B09" w14:textId="77777777" w:rsidR="00FD44B4" w:rsidRPr="00A21A81" w:rsidRDefault="00FD44B4" w:rsidP="00A21A81">
            <w:pPr>
              <w:keepNext/>
              <w:rPr>
                <w:rStyle w:val="Strong"/>
              </w:rPr>
            </w:pPr>
            <w:r w:rsidRPr="00A21A81">
              <w:rPr>
                <w:rStyle w:val="Strong"/>
              </w:rPr>
              <w:t>Controls</w:t>
            </w:r>
          </w:p>
        </w:tc>
        <w:tc>
          <w:tcPr>
            <w:tcW w:w="500" w:type="pct"/>
          </w:tcPr>
          <w:p w14:paraId="2385D494" w14:textId="77777777" w:rsidR="00FD44B4" w:rsidRPr="00A21A81" w:rsidRDefault="00FD44B4" w:rsidP="00A21A81">
            <w:pPr>
              <w:keepNext/>
              <w:rPr>
                <w:rStyle w:val="Strong"/>
              </w:rPr>
            </w:pPr>
            <w:r w:rsidRPr="00A21A81">
              <w:rPr>
                <w:rStyle w:val="Strong"/>
              </w:rPr>
              <w:t>Owner</w:t>
            </w:r>
          </w:p>
        </w:tc>
        <w:tc>
          <w:tcPr>
            <w:tcW w:w="500" w:type="pct"/>
          </w:tcPr>
          <w:p w14:paraId="6038F25A" w14:textId="77777777" w:rsidR="00FD44B4" w:rsidRPr="00A21A81" w:rsidRDefault="00FD44B4" w:rsidP="00A21A81">
            <w:pPr>
              <w:keepNext/>
              <w:rPr>
                <w:rStyle w:val="Strong"/>
              </w:rPr>
            </w:pPr>
            <w:r w:rsidRPr="00A21A81">
              <w:rPr>
                <w:rStyle w:val="Strong"/>
              </w:rPr>
              <w:t>Residual Risk</w:t>
            </w:r>
          </w:p>
        </w:tc>
        <w:tc>
          <w:tcPr>
            <w:tcW w:w="500" w:type="pct"/>
          </w:tcPr>
          <w:p w14:paraId="03B65691" w14:textId="77777777" w:rsidR="00FD44B4" w:rsidRPr="00A21A81" w:rsidRDefault="00FD44B4" w:rsidP="00A21A81">
            <w:pPr>
              <w:keepNext/>
              <w:rPr>
                <w:rStyle w:val="Strong"/>
              </w:rPr>
            </w:pPr>
            <w:r w:rsidRPr="00A21A81">
              <w:rPr>
                <w:rStyle w:val="Strong"/>
              </w:rPr>
              <w:t>Review Frequency</w:t>
            </w:r>
          </w:p>
        </w:tc>
      </w:tr>
      <w:tr w:rsidR="007A46A0" w14:paraId="4451EDB4" w14:textId="77777777" w:rsidTr="007A46A0">
        <w:trPr>
          <w:cantSplit/>
        </w:trPr>
        <w:tc>
          <w:tcPr>
            <w:tcW w:w="750" w:type="pct"/>
          </w:tcPr>
          <w:p w14:paraId="37700222" w14:textId="77777777" w:rsidR="00FD44B4" w:rsidRDefault="00FD44B4" w:rsidP="00A21A81">
            <w:pPr>
              <w:keepNext/>
            </w:pPr>
            <w:r>
              <w:t>Vandalism</w:t>
            </w:r>
          </w:p>
        </w:tc>
        <w:tc>
          <w:tcPr>
            <w:tcW w:w="500" w:type="pct"/>
          </w:tcPr>
          <w:p w14:paraId="5F0EB2A2" w14:textId="77777777" w:rsidR="00FD44B4" w:rsidRDefault="00FD44B4" w:rsidP="00A21A81">
            <w:pPr>
              <w:keepNext/>
            </w:pPr>
            <w:r>
              <w:t>2</w:t>
            </w:r>
          </w:p>
        </w:tc>
        <w:tc>
          <w:tcPr>
            <w:tcW w:w="500" w:type="pct"/>
          </w:tcPr>
          <w:p w14:paraId="51E7DA5A" w14:textId="77777777" w:rsidR="00FD44B4" w:rsidRDefault="00FD44B4" w:rsidP="00A21A81">
            <w:pPr>
              <w:keepNext/>
            </w:pPr>
            <w:r>
              <w:t>2</w:t>
            </w:r>
          </w:p>
        </w:tc>
        <w:tc>
          <w:tcPr>
            <w:tcW w:w="500" w:type="pct"/>
          </w:tcPr>
          <w:p w14:paraId="46B07EF2" w14:textId="77777777" w:rsidR="00FD44B4" w:rsidRDefault="00FD44B4" w:rsidP="00A21A81">
            <w:pPr>
              <w:keepNext/>
            </w:pPr>
            <w:r>
              <w:t>4</w:t>
            </w:r>
          </w:p>
        </w:tc>
        <w:tc>
          <w:tcPr>
            <w:tcW w:w="1250" w:type="pct"/>
          </w:tcPr>
          <w:p w14:paraId="5C6A8C52" w14:textId="2FFA06D9" w:rsidR="000B7C52" w:rsidRDefault="00FD44B4" w:rsidP="00A21A81">
            <w:pPr>
              <w:keepNext/>
            </w:pPr>
            <w:r>
              <w:t>Insurance</w:t>
            </w:r>
            <w:r w:rsidR="000B7C52">
              <w:t>.</w:t>
            </w:r>
          </w:p>
          <w:p w14:paraId="7C02D1FE" w14:textId="71ED198C" w:rsidR="00FD44B4" w:rsidRDefault="000B7C52" w:rsidP="00A21A81">
            <w:pPr>
              <w:keepNext/>
            </w:pPr>
            <w:r>
              <w:t>I</w:t>
            </w:r>
            <w:r w:rsidR="00FD44B4">
              <w:t>nspections</w:t>
            </w:r>
            <w:r>
              <w:t>.</w:t>
            </w:r>
          </w:p>
        </w:tc>
        <w:tc>
          <w:tcPr>
            <w:tcW w:w="500" w:type="pct"/>
          </w:tcPr>
          <w:p w14:paraId="133EF370" w14:textId="77777777" w:rsidR="00FD44B4" w:rsidRDefault="00FD44B4" w:rsidP="00A21A81">
            <w:pPr>
              <w:keepNext/>
            </w:pPr>
            <w:r>
              <w:t>Council</w:t>
            </w:r>
          </w:p>
        </w:tc>
        <w:tc>
          <w:tcPr>
            <w:tcW w:w="500" w:type="pct"/>
          </w:tcPr>
          <w:p w14:paraId="710DD465" w14:textId="77777777" w:rsidR="00FD44B4" w:rsidRDefault="00FD44B4" w:rsidP="00A21A81">
            <w:pPr>
              <w:keepNext/>
            </w:pPr>
            <w:r>
              <w:t>Low</w:t>
            </w:r>
          </w:p>
        </w:tc>
        <w:tc>
          <w:tcPr>
            <w:tcW w:w="500" w:type="pct"/>
          </w:tcPr>
          <w:p w14:paraId="3A9A162F" w14:textId="77777777" w:rsidR="00FD44B4" w:rsidRDefault="00FD44B4" w:rsidP="00A21A81">
            <w:pPr>
              <w:keepNext/>
            </w:pPr>
            <w:r w:rsidRPr="00083132">
              <w:t>Quarterly</w:t>
            </w:r>
          </w:p>
        </w:tc>
      </w:tr>
    </w:tbl>
    <w:p w14:paraId="66DEF2F5" w14:textId="47509DEC" w:rsidR="00A21A81" w:rsidRPr="00A21A81" w:rsidRDefault="00A21A81" w:rsidP="00A21A81">
      <w:pPr>
        <w:pStyle w:val="Subheading"/>
      </w:pPr>
      <w:r w:rsidRPr="00A21A81">
        <w:t>Property &amp; Assets</w:t>
      </w:r>
    </w:p>
    <w:tbl>
      <w:tblPr>
        <w:tblStyle w:val="TableGrid"/>
        <w:tblW w:w="5000" w:type="pct"/>
        <w:tblLook w:val="0620" w:firstRow="1" w:lastRow="0" w:firstColumn="0" w:lastColumn="0" w:noHBand="1" w:noVBand="1"/>
      </w:tblPr>
      <w:tblGrid>
        <w:gridCol w:w="2089"/>
        <w:gridCol w:w="1403"/>
        <w:gridCol w:w="1392"/>
        <w:gridCol w:w="1395"/>
        <w:gridCol w:w="3487"/>
        <w:gridCol w:w="1395"/>
        <w:gridCol w:w="1395"/>
        <w:gridCol w:w="1392"/>
      </w:tblGrid>
      <w:tr w:rsidR="000B7C52" w:rsidRPr="00A21A81" w14:paraId="7A786759" w14:textId="77777777" w:rsidTr="00736360">
        <w:trPr>
          <w:cantSplit/>
          <w:tblHeader/>
        </w:trPr>
        <w:tc>
          <w:tcPr>
            <w:tcW w:w="749" w:type="pct"/>
          </w:tcPr>
          <w:p w14:paraId="61A6D577" w14:textId="77777777" w:rsidR="00FD44B4" w:rsidRPr="00A21A81" w:rsidRDefault="00FD44B4" w:rsidP="00ED5CEE">
            <w:pPr>
              <w:rPr>
                <w:rStyle w:val="Strong"/>
              </w:rPr>
            </w:pPr>
            <w:r w:rsidRPr="00A21A81">
              <w:rPr>
                <w:rStyle w:val="Strong"/>
              </w:rPr>
              <w:t>Risk</w:t>
            </w:r>
          </w:p>
        </w:tc>
        <w:tc>
          <w:tcPr>
            <w:tcW w:w="503" w:type="pct"/>
          </w:tcPr>
          <w:p w14:paraId="58582413" w14:textId="77777777" w:rsidR="00FD44B4" w:rsidRPr="00A21A81" w:rsidRDefault="00FD44B4" w:rsidP="00ED5CEE">
            <w:pPr>
              <w:rPr>
                <w:rStyle w:val="Strong"/>
              </w:rPr>
            </w:pPr>
            <w:r w:rsidRPr="00A21A81">
              <w:rPr>
                <w:rStyle w:val="Strong"/>
              </w:rPr>
              <w:t>Likelihood</w:t>
            </w:r>
          </w:p>
        </w:tc>
        <w:tc>
          <w:tcPr>
            <w:tcW w:w="499" w:type="pct"/>
          </w:tcPr>
          <w:p w14:paraId="486CD1AE" w14:textId="77777777" w:rsidR="00FD44B4" w:rsidRPr="00A21A81" w:rsidRDefault="00FD44B4" w:rsidP="00ED5CEE">
            <w:pPr>
              <w:rPr>
                <w:rStyle w:val="Strong"/>
              </w:rPr>
            </w:pPr>
            <w:r w:rsidRPr="00A21A81">
              <w:rPr>
                <w:rStyle w:val="Strong"/>
              </w:rPr>
              <w:t>Impact</w:t>
            </w:r>
          </w:p>
        </w:tc>
        <w:tc>
          <w:tcPr>
            <w:tcW w:w="500" w:type="pct"/>
          </w:tcPr>
          <w:p w14:paraId="11B4E5D1" w14:textId="77777777" w:rsidR="00FD44B4" w:rsidRPr="00A21A81" w:rsidRDefault="00FD44B4" w:rsidP="00ED5CEE">
            <w:pPr>
              <w:rPr>
                <w:rStyle w:val="Strong"/>
              </w:rPr>
            </w:pPr>
            <w:r w:rsidRPr="00A21A81">
              <w:rPr>
                <w:rStyle w:val="Strong"/>
              </w:rPr>
              <w:t>Rating</w:t>
            </w:r>
          </w:p>
        </w:tc>
        <w:tc>
          <w:tcPr>
            <w:tcW w:w="1250" w:type="pct"/>
          </w:tcPr>
          <w:p w14:paraId="63E14217" w14:textId="77777777" w:rsidR="00FD44B4" w:rsidRPr="00A21A81" w:rsidRDefault="00FD44B4" w:rsidP="00ED5CEE">
            <w:pPr>
              <w:rPr>
                <w:rStyle w:val="Strong"/>
              </w:rPr>
            </w:pPr>
            <w:r w:rsidRPr="00A21A81">
              <w:rPr>
                <w:rStyle w:val="Strong"/>
              </w:rPr>
              <w:t>Controls</w:t>
            </w:r>
          </w:p>
        </w:tc>
        <w:tc>
          <w:tcPr>
            <w:tcW w:w="500" w:type="pct"/>
          </w:tcPr>
          <w:p w14:paraId="53B14AEA" w14:textId="77777777" w:rsidR="00FD44B4" w:rsidRPr="00A21A81" w:rsidRDefault="00FD44B4" w:rsidP="00ED5CEE">
            <w:pPr>
              <w:rPr>
                <w:rStyle w:val="Strong"/>
              </w:rPr>
            </w:pPr>
            <w:r w:rsidRPr="00A21A81">
              <w:rPr>
                <w:rStyle w:val="Strong"/>
              </w:rPr>
              <w:t>Owner</w:t>
            </w:r>
          </w:p>
        </w:tc>
        <w:tc>
          <w:tcPr>
            <w:tcW w:w="500" w:type="pct"/>
          </w:tcPr>
          <w:p w14:paraId="5393D5B0" w14:textId="77777777" w:rsidR="00FD44B4" w:rsidRPr="00A21A81" w:rsidRDefault="00FD44B4" w:rsidP="00ED5CEE">
            <w:pPr>
              <w:rPr>
                <w:rStyle w:val="Strong"/>
              </w:rPr>
            </w:pPr>
            <w:r w:rsidRPr="00A21A81">
              <w:rPr>
                <w:rStyle w:val="Strong"/>
              </w:rPr>
              <w:t>Residual Risk</w:t>
            </w:r>
          </w:p>
        </w:tc>
        <w:tc>
          <w:tcPr>
            <w:tcW w:w="499" w:type="pct"/>
          </w:tcPr>
          <w:p w14:paraId="6979A33E" w14:textId="77777777" w:rsidR="00FD44B4" w:rsidRPr="00A21A81" w:rsidRDefault="00FD44B4" w:rsidP="00ED5CEE">
            <w:pPr>
              <w:rPr>
                <w:rStyle w:val="Strong"/>
              </w:rPr>
            </w:pPr>
            <w:r w:rsidRPr="00A21A81">
              <w:rPr>
                <w:rStyle w:val="Strong"/>
              </w:rPr>
              <w:t>Review Frequency</w:t>
            </w:r>
          </w:p>
        </w:tc>
      </w:tr>
      <w:tr w:rsidR="000B7C52" w14:paraId="20B99DD7" w14:textId="77777777" w:rsidTr="00736360">
        <w:trPr>
          <w:cantSplit/>
        </w:trPr>
        <w:tc>
          <w:tcPr>
            <w:tcW w:w="749" w:type="pct"/>
          </w:tcPr>
          <w:p w14:paraId="7821BBC3" w14:textId="77777777" w:rsidR="00FD44B4" w:rsidRDefault="00FD44B4" w:rsidP="00ED5CEE">
            <w:r>
              <w:t>Asset Register accuracy</w:t>
            </w:r>
          </w:p>
        </w:tc>
        <w:tc>
          <w:tcPr>
            <w:tcW w:w="503" w:type="pct"/>
          </w:tcPr>
          <w:p w14:paraId="412D208D" w14:textId="77777777" w:rsidR="00FD44B4" w:rsidRDefault="00FD44B4" w:rsidP="00ED5CEE">
            <w:r>
              <w:t>1</w:t>
            </w:r>
          </w:p>
        </w:tc>
        <w:tc>
          <w:tcPr>
            <w:tcW w:w="499" w:type="pct"/>
          </w:tcPr>
          <w:p w14:paraId="7B468CAC" w14:textId="77777777" w:rsidR="00FD44B4" w:rsidRDefault="00FD44B4" w:rsidP="00ED5CEE">
            <w:r>
              <w:t>2</w:t>
            </w:r>
          </w:p>
        </w:tc>
        <w:tc>
          <w:tcPr>
            <w:tcW w:w="500" w:type="pct"/>
          </w:tcPr>
          <w:p w14:paraId="5C8F9F50" w14:textId="77777777" w:rsidR="00FD44B4" w:rsidRDefault="00FD44B4" w:rsidP="00ED5CEE">
            <w:r>
              <w:t>2</w:t>
            </w:r>
          </w:p>
        </w:tc>
        <w:tc>
          <w:tcPr>
            <w:tcW w:w="1250" w:type="pct"/>
          </w:tcPr>
          <w:p w14:paraId="61AEB555" w14:textId="5047EA1C" w:rsidR="000B7C52" w:rsidRDefault="00FD44B4" w:rsidP="00ED5CEE">
            <w:r>
              <w:t>Annual review</w:t>
            </w:r>
            <w:r w:rsidR="000B7C52">
              <w:t>.</w:t>
            </w:r>
          </w:p>
          <w:p w14:paraId="1897AE21" w14:textId="3A4DA88D" w:rsidR="000B7C52" w:rsidRDefault="000B7C52" w:rsidP="00ED5CEE">
            <w:r>
              <w:t>A</w:t>
            </w:r>
            <w:r w:rsidR="00FD44B4">
              <w:t>dditions and disposals recorded</w:t>
            </w:r>
            <w:r>
              <w:t>.</w:t>
            </w:r>
          </w:p>
          <w:p w14:paraId="0CDFB195" w14:textId="46BC2113" w:rsidR="00FD44B4" w:rsidRDefault="000B7C52" w:rsidP="00ED5CEE">
            <w:r>
              <w:t>L</w:t>
            </w:r>
            <w:r w:rsidR="00FD44B4">
              <w:t>inked to insurance</w:t>
            </w:r>
            <w:r>
              <w:t>.</w:t>
            </w:r>
          </w:p>
        </w:tc>
        <w:tc>
          <w:tcPr>
            <w:tcW w:w="500" w:type="pct"/>
          </w:tcPr>
          <w:p w14:paraId="7CAC5BB8" w14:textId="77777777" w:rsidR="00FD44B4" w:rsidRDefault="00FD44B4" w:rsidP="00ED5CEE">
            <w:r>
              <w:t>Clerk</w:t>
            </w:r>
          </w:p>
        </w:tc>
        <w:tc>
          <w:tcPr>
            <w:tcW w:w="500" w:type="pct"/>
          </w:tcPr>
          <w:p w14:paraId="7B47A3B1" w14:textId="77777777" w:rsidR="00FD44B4" w:rsidRDefault="00FD44B4" w:rsidP="00ED5CEE">
            <w:r>
              <w:t>Low</w:t>
            </w:r>
          </w:p>
        </w:tc>
        <w:tc>
          <w:tcPr>
            <w:tcW w:w="499" w:type="pct"/>
          </w:tcPr>
          <w:p w14:paraId="065FB544" w14:textId="77777777" w:rsidR="00FD44B4" w:rsidRDefault="00FD44B4" w:rsidP="00ED5CEE">
            <w:r>
              <w:t>Annual</w:t>
            </w:r>
          </w:p>
        </w:tc>
      </w:tr>
      <w:tr w:rsidR="000B7C52" w14:paraId="0203FE26" w14:textId="77777777" w:rsidTr="00736360">
        <w:trPr>
          <w:cantSplit/>
        </w:trPr>
        <w:tc>
          <w:tcPr>
            <w:tcW w:w="749" w:type="pct"/>
          </w:tcPr>
          <w:p w14:paraId="0BE8F40F" w14:textId="77777777" w:rsidR="00FD44B4" w:rsidRDefault="00FD44B4" w:rsidP="00ED5CEE">
            <w:r>
              <w:t>Defibrillator failure</w:t>
            </w:r>
          </w:p>
        </w:tc>
        <w:tc>
          <w:tcPr>
            <w:tcW w:w="503" w:type="pct"/>
          </w:tcPr>
          <w:p w14:paraId="02E7AAB6" w14:textId="77777777" w:rsidR="00FD44B4" w:rsidRDefault="00FD44B4" w:rsidP="00ED5CEE">
            <w:r>
              <w:t>1</w:t>
            </w:r>
          </w:p>
        </w:tc>
        <w:tc>
          <w:tcPr>
            <w:tcW w:w="499" w:type="pct"/>
          </w:tcPr>
          <w:p w14:paraId="0C8CB1A2" w14:textId="77777777" w:rsidR="00FD44B4" w:rsidRDefault="00FD44B4" w:rsidP="00ED5CEE">
            <w:r>
              <w:t>3</w:t>
            </w:r>
          </w:p>
        </w:tc>
        <w:tc>
          <w:tcPr>
            <w:tcW w:w="500" w:type="pct"/>
          </w:tcPr>
          <w:p w14:paraId="0C873919" w14:textId="77777777" w:rsidR="00FD44B4" w:rsidRDefault="00FD44B4" w:rsidP="00ED5CEE">
            <w:r>
              <w:t>3</w:t>
            </w:r>
          </w:p>
        </w:tc>
        <w:tc>
          <w:tcPr>
            <w:tcW w:w="1250" w:type="pct"/>
          </w:tcPr>
          <w:p w14:paraId="3BE0A8CB" w14:textId="781B348E" w:rsidR="000B7C52" w:rsidRDefault="00FD44B4" w:rsidP="00ED5CEE">
            <w:r>
              <w:t>Monthly inspections</w:t>
            </w:r>
            <w:r w:rsidR="000B7C52">
              <w:t>.</w:t>
            </w:r>
          </w:p>
          <w:p w14:paraId="12FBF70A" w14:textId="2B33AA5B" w:rsidR="000B7C52" w:rsidRDefault="000B7C52" w:rsidP="00ED5CEE">
            <w:r>
              <w:t>A</w:t>
            </w:r>
            <w:r w:rsidR="00FD44B4">
              <w:t>larmed cabinet</w:t>
            </w:r>
            <w:r>
              <w:t>.</w:t>
            </w:r>
          </w:p>
          <w:p w14:paraId="3AA622C1" w14:textId="0B6B3743" w:rsidR="00FD44B4" w:rsidRDefault="000B7C52" w:rsidP="00ED5CEE">
            <w:r>
              <w:t>I</w:t>
            </w:r>
            <w:r w:rsidR="00FD44B4">
              <w:t>nsurance</w:t>
            </w:r>
            <w:r>
              <w:t>.</w:t>
            </w:r>
          </w:p>
        </w:tc>
        <w:tc>
          <w:tcPr>
            <w:tcW w:w="500" w:type="pct"/>
          </w:tcPr>
          <w:p w14:paraId="129016EB" w14:textId="77777777" w:rsidR="00FD44B4" w:rsidRDefault="00FD44B4" w:rsidP="00ED5CEE">
            <w:r>
              <w:t>Clerk</w:t>
            </w:r>
          </w:p>
        </w:tc>
        <w:tc>
          <w:tcPr>
            <w:tcW w:w="500" w:type="pct"/>
          </w:tcPr>
          <w:p w14:paraId="3CCBE8EC" w14:textId="77777777" w:rsidR="00FD44B4" w:rsidRDefault="00FD44B4" w:rsidP="00ED5CEE">
            <w:r>
              <w:t>Low</w:t>
            </w:r>
          </w:p>
        </w:tc>
        <w:tc>
          <w:tcPr>
            <w:tcW w:w="499" w:type="pct"/>
          </w:tcPr>
          <w:p w14:paraId="75B37E5F" w14:textId="77777777" w:rsidR="00FD44B4" w:rsidRDefault="00FD44B4" w:rsidP="00ED5CEE">
            <w:r>
              <w:t>Monthly</w:t>
            </w:r>
          </w:p>
        </w:tc>
      </w:tr>
      <w:tr w:rsidR="007A46A0" w14:paraId="5377C6E3" w14:textId="77777777" w:rsidTr="00736360">
        <w:trPr>
          <w:cantSplit/>
        </w:trPr>
        <w:tc>
          <w:tcPr>
            <w:tcW w:w="749" w:type="pct"/>
          </w:tcPr>
          <w:p w14:paraId="16D86C3E" w14:textId="69B85246" w:rsidR="007A46A0" w:rsidRDefault="007A46A0" w:rsidP="00ED5CEE">
            <w:r>
              <w:t>Emergency generator failure</w:t>
            </w:r>
          </w:p>
        </w:tc>
        <w:tc>
          <w:tcPr>
            <w:tcW w:w="503" w:type="pct"/>
          </w:tcPr>
          <w:p w14:paraId="07BD3F9F" w14:textId="5F393041" w:rsidR="007A46A0" w:rsidRDefault="007A46A0" w:rsidP="00ED5CEE">
            <w:r>
              <w:t>1</w:t>
            </w:r>
          </w:p>
        </w:tc>
        <w:tc>
          <w:tcPr>
            <w:tcW w:w="499" w:type="pct"/>
          </w:tcPr>
          <w:p w14:paraId="023E79FA" w14:textId="2FFD0BE0" w:rsidR="007A46A0" w:rsidRDefault="007A46A0" w:rsidP="00ED5CEE">
            <w:r>
              <w:t>3</w:t>
            </w:r>
          </w:p>
        </w:tc>
        <w:tc>
          <w:tcPr>
            <w:tcW w:w="500" w:type="pct"/>
          </w:tcPr>
          <w:p w14:paraId="31DA1CAD" w14:textId="19BD572F" w:rsidR="007A46A0" w:rsidRDefault="007A46A0" w:rsidP="00ED5CEE">
            <w:r>
              <w:t>3</w:t>
            </w:r>
          </w:p>
        </w:tc>
        <w:tc>
          <w:tcPr>
            <w:tcW w:w="1250" w:type="pct"/>
          </w:tcPr>
          <w:p w14:paraId="178ADCD0" w14:textId="59815A71" w:rsidR="007A46A0" w:rsidRDefault="007A46A0" w:rsidP="00ED5CEE">
            <w:r w:rsidRPr="007A46A0">
              <w:t>Monthly warm-up runs and maintenance schedule followed</w:t>
            </w:r>
          </w:p>
        </w:tc>
        <w:tc>
          <w:tcPr>
            <w:tcW w:w="500" w:type="pct"/>
          </w:tcPr>
          <w:p w14:paraId="4545D860" w14:textId="026F684D" w:rsidR="007A46A0" w:rsidRDefault="007A46A0" w:rsidP="00ED5CEE">
            <w:r>
              <w:t>Clerk</w:t>
            </w:r>
          </w:p>
        </w:tc>
        <w:tc>
          <w:tcPr>
            <w:tcW w:w="500" w:type="pct"/>
          </w:tcPr>
          <w:p w14:paraId="238AB949" w14:textId="179D90F5" w:rsidR="007A46A0" w:rsidRDefault="007A46A0" w:rsidP="00ED5CEE">
            <w:r>
              <w:t>Medium</w:t>
            </w:r>
          </w:p>
        </w:tc>
        <w:tc>
          <w:tcPr>
            <w:tcW w:w="499" w:type="pct"/>
          </w:tcPr>
          <w:p w14:paraId="1BF2FA44" w14:textId="0900B33B" w:rsidR="007A46A0" w:rsidRDefault="00736360" w:rsidP="00ED5CEE">
            <w:r w:rsidRPr="00736360">
              <w:t>Quarterly</w:t>
            </w:r>
          </w:p>
        </w:tc>
      </w:tr>
      <w:tr w:rsidR="000B7C52" w14:paraId="08AB6622" w14:textId="77777777" w:rsidTr="00736360">
        <w:trPr>
          <w:cantSplit/>
        </w:trPr>
        <w:tc>
          <w:tcPr>
            <w:tcW w:w="749" w:type="pct"/>
          </w:tcPr>
          <w:p w14:paraId="6E39A030" w14:textId="77777777" w:rsidR="00FD44B4" w:rsidRDefault="00FD44B4" w:rsidP="009867D8">
            <w:r w:rsidRPr="00E5540A">
              <w:t>Noticeboards</w:t>
            </w:r>
          </w:p>
        </w:tc>
        <w:tc>
          <w:tcPr>
            <w:tcW w:w="503" w:type="pct"/>
          </w:tcPr>
          <w:p w14:paraId="33C34DF9" w14:textId="77777777" w:rsidR="00FD44B4" w:rsidRDefault="00FD44B4" w:rsidP="009867D8">
            <w:r w:rsidRPr="00E5540A">
              <w:t>1</w:t>
            </w:r>
          </w:p>
        </w:tc>
        <w:tc>
          <w:tcPr>
            <w:tcW w:w="499" w:type="pct"/>
          </w:tcPr>
          <w:p w14:paraId="66930FAA" w14:textId="77777777" w:rsidR="00FD44B4" w:rsidRDefault="00FD44B4" w:rsidP="009867D8">
            <w:r w:rsidRPr="00E5540A">
              <w:t>2</w:t>
            </w:r>
          </w:p>
        </w:tc>
        <w:tc>
          <w:tcPr>
            <w:tcW w:w="500" w:type="pct"/>
          </w:tcPr>
          <w:p w14:paraId="32CCCE2A" w14:textId="77777777" w:rsidR="00FD44B4" w:rsidRDefault="00FD44B4" w:rsidP="009867D8">
            <w:r w:rsidRPr="00E5540A">
              <w:t>2</w:t>
            </w:r>
          </w:p>
        </w:tc>
        <w:tc>
          <w:tcPr>
            <w:tcW w:w="1250" w:type="pct"/>
          </w:tcPr>
          <w:p w14:paraId="4EF26D8C" w14:textId="433CB7FD" w:rsidR="000B7C52" w:rsidRDefault="00FD44B4" w:rsidP="009867D8">
            <w:r w:rsidRPr="00E5540A">
              <w:t>Monthly inspections</w:t>
            </w:r>
            <w:r w:rsidR="000B7C52">
              <w:t>.</w:t>
            </w:r>
          </w:p>
          <w:p w14:paraId="760E0030" w14:textId="734BEFD5" w:rsidR="00FD44B4" w:rsidRDefault="000B7C52" w:rsidP="009867D8">
            <w:r>
              <w:t>I</w:t>
            </w:r>
            <w:r w:rsidR="00FD44B4" w:rsidRPr="00E5540A">
              <w:t>nsurance</w:t>
            </w:r>
            <w:r>
              <w:t>.</w:t>
            </w:r>
          </w:p>
        </w:tc>
        <w:tc>
          <w:tcPr>
            <w:tcW w:w="500" w:type="pct"/>
          </w:tcPr>
          <w:p w14:paraId="122A36F6" w14:textId="77777777" w:rsidR="00FD44B4" w:rsidRDefault="00FD44B4" w:rsidP="009867D8">
            <w:r w:rsidRPr="00E5540A">
              <w:t>Clerk</w:t>
            </w:r>
          </w:p>
        </w:tc>
        <w:tc>
          <w:tcPr>
            <w:tcW w:w="500" w:type="pct"/>
          </w:tcPr>
          <w:p w14:paraId="788B4937" w14:textId="77777777" w:rsidR="00FD44B4" w:rsidRDefault="00FD44B4" w:rsidP="009867D8">
            <w:r w:rsidRPr="00E5540A">
              <w:t>Low</w:t>
            </w:r>
          </w:p>
        </w:tc>
        <w:tc>
          <w:tcPr>
            <w:tcW w:w="499" w:type="pct"/>
          </w:tcPr>
          <w:p w14:paraId="1284B89F" w14:textId="77777777" w:rsidR="00FD44B4" w:rsidRDefault="00FD44B4" w:rsidP="009867D8">
            <w:r w:rsidRPr="00E5540A">
              <w:t>Annual</w:t>
            </w:r>
          </w:p>
        </w:tc>
      </w:tr>
      <w:tr w:rsidR="000B7C52" w14:paraId="0AE2345A" w14:textId="77777777" w:rsidTr="00736360">
        <w:trPr>
          <w:cantSplit/>
        </w:trPr>
        <w:tc>
          <w:tcPr>
            <w:tcW w:w="749" w:type="pct"/>
          </w:tcPr>
          <w:p w14:paraId="3279ECEF" w14:textId="77777777" w:rsidR="00FD44B4" w:rsidRDefault="00FD44B4" w:rsidP="00FB0249">
            <w:r>
              <w:t>Signposts</w:t>
            </w:r>
          </w:p>
        </w:tc>
        <w:tc>
          <w:tcPr>
            <w:tcW w:w="503" w:type="pct"/>
          </w:tcPr>
          <w:p w14:paraId="0A836AB7" w14:textId="77777777" w:rsidR="00FD44B4" w:rsidRDefault="00FD44B4" w:rsidP="00FB0249">
            <w:r w:rsidRPr="00E5540A">
              <w:t>1</w:t>
            </w:r>
          </w:p>
        </w:tc>
        <w:tc>
          <w:tcPr>
            <w:tcW w:w="499" w:type="pct"/>
          </w:tcPr>
          <w:p w14:paraId="6EA19272" w14:textId="77777777" w:rsidR="00FD44B4" w:rsidRDefault="00FD44B4" w:rsidP="00FB0249">
            <w:r w:rsidRPr="00E5540A">
              <w:t>2</w:t>
            </w:r>
          </w:p>
        </w:tc>
        <w:tc>
          <w:tcPr>
            <w:tcW w:w="500" w:type="pct"/>
          </w:tcPr>
          <w:p w14:paraId="477C0072" w14:textId="77777777" w:rsidR="00FD44B4" w:rsidRDefault="00FD44B4" w:rsidP="00FB0249">
            <w:r w:rsidRPr="00E5540A">
              <w:t>2</w:t>
            </w:r>
          </w:p>
        </w:tc>
        <w:tc>
          <w:tcPr>
            <w:tcW w:w="1250" w:type="pct"/>
          </w:tcPr>
          <w:p w14:paraId="57D51C7C" w14:textId="4EECF3A5" w:rsidR="000B7C52" w:rsidRDefault="00FD44B4" w:rsidP="00FB0249">
            <w:r w:rsidRPr="00E5540A">
              <w:t>Monthly inspections</w:t>
            </w:r>
            <w:r w:rsidR="000B7C52">
              <w:t>.</w:t>
            </w:r>
          </w:p>
          <w:p w14:paraId="7B29F7F1" w14:textId="25B29438" w:rsidR="00FD44B4" w:rsidRDefault="000B7C52" w:rsidP="00FB0249">
            <w:r>
              <w:t>I</w:t>
            </w:r>
            <w:r w:rsidR="00FD44B4" w:rsidRPr="00E5540A">
              <w:t>nsurance</w:t>
            </w:r>
            <w:r>
              <w:t>.</w:t>
            </w:r>
          </w:p>
        </w:tc>
        <w:tc>
          <w:tcPr>
            <w:tcW w:w="500" w:type="pct"/>
          </w:tcPr>
          <w:p w14:paraId="1419D349" w14:textId="77777777" w:rsidR="00FD44B4" w:rsidRDefault="00FD44B4" w:rsidP="00FB0249">
            <w:r w:rsidRPr="00E5540A">
              <w:t>Clerk</w:t>
            </w:r>
          </w:p>
        </w:tc>
        <w:tc>
          <w:tcPr>
            <w:tcW w:w="500" w:type="pct"/>
          </w:tcPr>
          <w:p w14:paraId="3DCB5F60" w14:textId="77777777" w:rsidR="00FD44B4" w:rsidRDefault="00FD44B4" w:rsidP="00FB0249">
            <w:r w:rsidRPr="00E5540A">
              <w:t>Low</w:t>
            </w:r>
          </w:p>
        </w:tc>
        <w:tc>
          <w:tcPr>
            <w:tcW w:w="499" w:type="pct"/>
          </w:tcPr>
          <w:p w14:paraId="3E16C722" w14:textId="77777777" w:rsidR="00FD44B4" w:rsidRDefault="00FD44B4" w:rsidP="00FB0249">
            <w:r w:rsidRPr="00E5540A">
              <w:t>Annual</w:t>
            </w:r>
          </w:p>
        </w:tc>
      </w:tr>
    </w:tbl>
    <w:p w14:paraId="66B67B63" w14:textId="77777777" w:rsidR="008E7AEF" w:rsidRPr="008E7AEF" w:rsidRDefault="008E7AEF" w:rsidP="003714D4">
      <w:pPr>
        <w:pStyle w:val="Heading"/>
        <w:keepNext/>
        <w:keepLines/>
        <w:rPr>
          <w:rFonts w:ascii="Calibri Light" w:hAnsi="Calibri Light" w:cs="Calibri Light"/>
        </w:rPr>
      </w:pPr>
      <w:r w:rsidRPr="008E7AEF">
        <w:lastRenderedPageBreak/>
        <w:t>Review</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80"/>
        <w:gridCol w:w="4510"/>
      </w:tblGrid>
      <w:tr w:rsidR="003714D4" w14:paraId="6AFE8069" w14:textId="77777777">
        <w:tc>
          <w:tcPr>
            <w:tcW w:w="1980" w:type="dxa"/>
            <w:hideMark/>
          </w:tcPr>
          <w:p w14:paraId="6D152E57" w14:textId="77777777" w:rsidR="003714D4" w:rsidRDefault="003714D4" w:rsidP="003714D4">
            <w:pPr>
              <w:keepNext/>
              <w:keepLines/>
              <w:spacing w:before="240" w:line="276" w:lineRule="auto"/>
              <w:rPr>
                <w:rFonts w:cs="Calibri"/>
              </w:rPr>
            </w:pPr>
            <w:r>
              <w:rPr>
                <w:rFonts w:cs="Calibri"/>
              </w:rPr>
              <w:t>Policy version</w:t>
            </w:r>
          </w:p>
        </w:tc>
        <w:tc>
          <w:tcPr>
            <w:tcW w:w="4510" w:type="dxa"/>
            <w:hideMark/>
          </w:tcPr>
          <w:p w14:paraId="609FBC0F" w14:textId="77777777" w:rsidR="003714D4" w:rsidRDefault="003714D4" w:rsidP="003714D4">
            <w:pPr>
              <w:keepNext/>
              <w:keepLines/>
              <w:spacing w:before="240" w:line="276" w:lineRule="auto"/>
              <w:rPr>
                <w:rFonts w:cs="Calibri"/>
              </w:rPr>
            </w:pPr>
            <w:r>
              <w:rPr>
                <w:rFonts w:cs="Calibri"/>
              </w:rPr>
              <w:t>20260319</w:t>
            </w:r>
          </w:p>
        </w:tc>
      </w:tr>
      <w:tr w:rsidR="003714D4" w14:paraId="4A2E6F72" w14:textId="77777777">
        <w:tc>
          <w:tcPr>
            <w:tcW w:w="1980" w:type="dxa"/>
            <w:hideMark/>
          </w:tcPr>
          <w:p w14:paraId="40912ABD" w14:textId="77777777" w:rsidR="003714D4" w:rsidRDefault="003714D4" w:rsidP="003714D4">
            <w:pPr>
              <w:keepNext/>
              <w:keepLines/>
              <w:spacing w:before="240" w:line="276" w:lineRule="auto"/>
              <w:rPr>
                <w:rFonts w:cs="Calibri"/>
              </w:rPr>
            </w:pPr>
            <w:r>
              <w:rPr>
                <w:rFonts w:cs="Calibri"/>
              </w:rPr>
              <w:t>Review date:</w:t>
            </w:r>
          </w:p>
        </w:tc>
        <w:tc>
          <w:tcPr>
            <w:tcW w:w="4510" w:type="dxa"/>
            <w:hideMark/>
          </w:tcPr>
          <w:p w14:paraId="1C217266" w14:textId="77777777" w:rsidR="003714D4" w:rsidRDefault="003714D4" w:rsidP="003714D4">
            <w:pPr>
              <w:keepNext/>
              <w:keepLines/>
              <w:spacing w:before="240" w:line="276" w:lineRule="auto"/>
              <w:rPr>
                <w:rFonts w:cs="Calibri"/>
              </w:rPr>
            </w:pPr>
            <w:r>
              <w:rPr>
                <w:rFonts w:cs="Calibri"/>
              </w:rPr>
              <w:t>20260319</w:t>
            </w:r>
          </w:p>
        </w:tc>
      </w:tr>
      <w:tr w:rsidR="003714D4" w14:paraId="73C0C462" w14:textId="77777777">
        <w:tc>
          <w:tcPr>
            <w:tcW w:w="1980" w:type="dxa"/>
            <w:hideMark/>
          </w:tcPr>
          <w:p w14:paraId="727651B0" w14:textId="77777777" w:rsidR="003714D4" w:rsidRDefault="003714D4" w:rsidP="003714D4">
            <w:pPr>
              <w:keepNext/>
              <w:keepLines/>
              <w:spacing w:before="240" w:line="276" w:lineRule="auto"/>
            </w:pPr>
            <w:r>
              <w:rPr>
                <w:rFonts w:cs="Calibri"/>
              </w:rPr>
              <w:t>Approved by:</w:t>
            </w:r>
          </w:p>
        </w:tc>
        <w:tc>
          <w:tcPr>
            <w:tcW w:w="4510" w:type="dxa"/>
          </w:tcPr>
          <w:p w14:paraId="4028AEA5" w14:textId="77777777" w:rsidR="003714D4" w:rsidRDefault="003714D4" w:rsidP="003714D4">
            <w:pPr>
              <w:keepNext/>
              <w:keepLines/>
              <w:spacing w:before="240" w:line="276" w:lineRule="auto"/>
              <w:rPr>
                <w:rFonts w:cs="Calibri"/>
              </w:rPr>
            </w:pPr>
          </w:p>
        </w:tc>
      </w:tr>
      <w:tr w:rsidR="003714D4" w14:paraId="78FC9DA5" w14:textId="77777777">
        <w:tc>
          <w:tcPr>
            <w:tcW w:w="1980" w:type="dxa"/>
            <w:hideMark/>
          </w:tcPr>
          <w:p w14:paraId="453AD8A4" w14:textId="77777777" w:rsidR="003714D4" w:rsidRDefault="003714D4" w:rsidP="003714D4">
            <w:pPr>
              <w:keepNext/>
              <w:keepLines/>
              <w:spacing w:before="240" w:line="276" w:lineRule="auto"/>
              <w:rPr>
                <w:rFonts w:cs="Calibri"/>
              </w:rPr>
            </w:pPr>
            <w:r>
              <w:rPr>
                <w:rFonts w:cs="Calibri"/>
              </w:rPr>
              <w:t>Date adopted:</w:t>
            </w:r>
          </w:p>
        </w:tc>
        <w:tc>
          <w:tcPr>
            <w:tcW w:w="4510" w:type="dxa"/>
            <w:hideMark/>
          </w:tcPr>
          <w:p w14:paraId="7D95DAEC" w14:textId="77777777" w:rsidR="003714D4" w:rsidRDefault="003714D4" w:rsidP="003714D4">
            <w:pPr>
              <w:keepNext/>
              <w:keepLines/>
              <w:spacing w:before="240" w:line="276" w:lineRule="auto"/>
              <w:rPr>
                <w:rFonts w:cs="Calibri"/>
              </w:rPr>
            </w:pPr>
            <w:r>
              <w:rPr>
                <w:rFonts w:cs="Calibri"/>
              </w:rPr>
              <w:t>19</w:t>
            </w:r>
            <w:r>
              <w:rPr>
                <w:rFonts w:cs="Calibri"/>
                <w:vertAlign w:val="superscript"/>
              </w:rPr>
              <w:t>th</w:t>
            </w:r>
            <w:r>
              <w:rPr>
                <w:rFonts w:cs="Calibri"/>
              </w:rPr>
              <w:t xml:space="preserve"> March 2026</w:t>
            </w:r>
          </w:p>
        </w:tc>
      </w:tr>
    </w:tbl>
    <w:p w14:paraId="3375D886" w14:textId="14DFBF31" w:rsidR="00630075" w:rsidRPr="00736360" w:rsidRDefault="00630075" w:rsidP="008E7AEF">
      <w:pPr>
        <w:rPr>
          <w:rStyle w:val="Strong"/>
          <w:b w:val="0"/>
          <w:bCs w:val="0"/>
        </w:rPr>
      </w:pPr>
    </w:p>
    <w:sectPr w:rsidR="00630075" w:rsidRPr="00736360" w:rsidSect="00A21A81">
      <w:pgSz w:w="16838" w:h="11906" w:orient="landscape"/>
      <w:pgMar w:top="1080" w:right="1440" w:bottom="108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518D6" w14:textId="77777777" w:rsidR="00677870" w:rsidRDefault="00677870" w:rsidP="00181D1A">
      <w:r>
        <w:separator/>
      </w:r>
    </w:p>
  </w:endnote>
  <w:endnote w:type="continuationSeparator" w:id="0">
    <w:p w14:paraId="2FEFB0D5" w14:textId="77777777" w:rsidR="00677870" w:rsidRDefault="00677870" w:rsidP="00181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05840" w14:textId="789CAAB7" w:rsidR="00510060" w:rsidRPr="00510060" w:rsidRDefault="00510060">
    <w:pPr>
      <w:pStyle w:val="Footer"/>
      <w:rPr>
        <w:b/>
        <w:bCs/>
        <w:smallCaps/>
        <w:color w:val="538135" w:themeColor="accent6" w:themeShade="BF"/>
        <w:spacing w:val="5"/>
        <w:sz w:val="20"/>
      </w:rPr>
    </w:pPr>
    <w:r>
      <w:rPr>
        <w:rStyle w:val="IntenseReference"/>
        <w:color w:val="538135" w:themeColor="accent6" w:themeShade="BF"/>
        <w:sz w:val="20"/>
      </w:rPr>
      <w:t xml:space="preserve">Swallowcliffe parish council </w:t>
    </w:r>
    <w:r w:rsidR="00630075">
      <w:rPr>
        <w:rStyle w:val="IntenseReference"/>
        <w:color w:val="538135" w:themeColor="accent6" w:themeShade="BF"/>
        <w:sz w:val="20"/>
      </w:rPr>
      <w:t xml:space="preserve">Asset </w:t>
    </w:r>
    <w:r w:rsidR="005928F5">
      <w:rPr>
        <w:rStyle w:val="IntenseReference"/>
        <w:color w:val="538135" w:themeColor="accent6" w:themeShade="BF"/>
        <w:sz w:val="20"/>
      </w:rPr>
      <w:t>Register</w:t>
    </w:r>
    <w:r w:rsidRPr="005C75E1">
      <w:rPr>
        <w:rStyle w:val="IntenseReference"/>
        <w:color w:val="538135" w:themeColor="accent6" w:themeShade="BF"/>
        <w:sz w:val="20"/>
      </w:rPr>
      <w:ptab w:relativeTo="margin" w:alignment="right" w:leader="none"/>
    </w:r>
    <w:r>
      <w:rPr>
        <w:rStyle w:val="IntenseReference"/>
        <w:color w:val="538135" w:themeColor="accent6" w:themeShade="BF"/>
        <w:sz w:val="20"/>
      </w:rPr>
      <w:t xml:space="preserve">Page </w:t>
    </w:r>
    <w:r w:rsidRPr="005C75E1">
      <w:rPr>
        <w:rStyle w:val="IntenseReference"/>
        <w:color w:val="538135" w:themeColor="accent6" w:themeShade="BF"/>
        <w:sz w:val="20"/>
      </w:rPr>
      <w:fldChar w:fldCharType="begin"/>
    </w:r>
    <w:r w:rsidRPr="005C75E1">
      <w:rPr>
        <w:rStyle w:val="IntenseReference"/>
        <w:color w:val="538135" w:themeColor="accent6" w:themeShade="BF"/>
        <w:sz w:val="20"/>
      </w:rPr>
      <w:instrText xml:space="preserve"> PAGE   \* MERGEFORMAT </w:instrText>
    </w:r>
    <w:r w:rsidRPr="005C75E1">
      <w:rPr>
        <w:rStyle w:val="IntenseReference"/>
        <w:color w:val="538135" w:themeColor="accent6" w:themeShade="BF"/>
        <w:sz w:val="20"/>
      </w:rPr>
      <w:fldChar w:fldCharType="separate"/>
    </w:r>
    <w:r>
      <w:rPr>
        <w:rStyle w:val="IntenseReference"/>
        <w:color w:val="538135" w:themeColor="accent6" w:themeShade="BF"/>
        <w:sz w:val="20"/>
      </w:rPr>
      <w:t>1</w:t>
    </w:r>
    <w:r w:rsidRPr="005C75E1">
      <w:rPr>
        <w:rStyle w:val="IntenseReference"/>
        <w:noProof/>
        <w:color w:val="538135" w:themeColor="accent6" w:themeShade="BF"/>
        <w:sz w:val="20"/>
      </w:rPr>
      <w:fldChar w:fldCharType="end"/>
    </w:r>
    <w:r>
      <w:rPr>
        <w:rStyle w:val="IntenseReference"/>
        <w:noProof/>
        <w:color w:val="538135" w:themeColor="accent6" w:themeShade="BF"/>
        <w:sz w:val="20"/>
      </w:rPr>
      <w:t xml:space="preserve"> of </w:t>
    </w:r>
    <w:r>
      <w:rPr>
        <w:rStyle w:val="IntenseReference"/>
        <w:noProof/>
        <w:color w:val="538135" w:themeColor="accent6" w:themeShade="BF"/>
        <w:sz w:val="20"/>
      </w:rPr>
      <w:fldChar w:fldCharType="begin"/>
    </w:r>
    <w:r>
      <w:rPr>
        <w:rStyle w:val="IntenseReference"/>
        <w:noProof/>
        <w:color w:val="538135" w:themeColor="accent6" w:themeShade="BF"/>
        <w:sz w:val="20"/>
      </w:rPr>
      <w:instrText xml:space="preserve"> NUMPAGES   \* MERGEFORMAT </w:instrText>
    </w:r>
    <w:r>
      <w:rPr>
        <w:rStyle w:val="IntenseReference"/>
        <w:noProof/>
        <w:color w:val="538135" w:themeColor="accent6" w:themeShade="BF"/>
        <w:sz w:val="20"/>
      </w:rPr>
      <w:fldChar w:fldCharType="separate"/>
    </w:r>
    <w:r>
      <w:rPr>
        <w:rStyle w:val="IntenseReference"/>
        <w:noProof/>
        <w:color w:val="538135" w:themeColor="accent6" w:themeShade="BF"/>
        <w:sz w:val="20"/>
      </w:rPr>
      <w:t>2</w:t>
    </w:r>
    <w:r>
      <w:rPr>
        <w:rStyle w:val="IntenseReference"/>
        <w:noProof/>
        <w:color w:val="538135" w:themeColor="accent6" w:themeShade="B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EAA74" w14:textId="77777777" w:rsidR="00677870" w:rsidRDefault="00677870" w:rsidP="00181D1A">
      <w:r>
        <w:separator/>
      </w:r>
    </w:p>
  </w:footnote>
  <w:footnote w:type="continuationSeparator" w:id="0">
    <w:p w14:paraId="368376E5" w14:textId="77777777" w:rsidR="00677870" w:rsidRDefault="00677870" w:rsidP="00181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141B0" w14:textId="00F42D4A" w:rsidR="00CE6A98" w:rsidRDefault="00CE6A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44D94"/>
    <w:multiLevelType w:val="hybridMultilevel"/>
    <w:tmpl w:val="4A1ED6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105869"/>
    <w:multiLevelType w:val="hybridMultilevel"/>
    <w:tmpl w:val="D3D67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5340F6"/>
    <w:multiLevelType w:val="hybridMultilevel"/>
    <w:tmpl w:val="3B385F90"/>
    <w:lvl w:ilvl="0" w:tplc="D6CAADEC">
      <w:start w:val="1"/>
      <w:numFmt w:val="decimal"/>
      <w:pStyle w:val="ListParagraph"/>
      <w:suff w:val="space"/>
      <w:lvlText w:val="%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7E90229"/>
    <w:multiLevelType w:val="hybridMultilevel"/>
    <w:tmpl w:val="232C9724"/>
    <w:lvl w:ilvl="0" w:tplc="D6E003C2">
      <w:start w:val="1"/>
      <w:numFmt w:val="upperLetter"/>
      <w:pStyle w:val="Listsubparagraph"/>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A0A1980"/>
    <w:multiLevelType w:val="hybridMultilevel"/>
    <w:tmpl w:val="58227408"/>
    <w:lvl w:ilvl="0" w:tplc="E2C41706">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5DE5C9C"/>
    <w:multiLevelType w:val="hybridMultilevel"/>
    <w:tmpl w:val="60B8C78E"/>
    <w:lvl w:ilvl="0" w:tplc="131EC18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9F3F51"/>
    <w:multiLevelType w:val="hybridMultilevel"/>
    <w:tmpl w:val="B17C8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195F01"/>
    <w:multiLevelType w:val="hybridMultilevel"/>
    <w:tmpl w:val="3A24F8CC"/>
    <w:lvl w:ilvl="0" w:tplc="DAD26954">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09838677">
    <w:abstractNumId w:val="2"/>
  </w:num>
  <w:num w:numId="2" w16cid:durableId="1318800487">
    <w:abstractNumId w:val="5"/>
  </w:num>
  <w:num w:numId="3" w16cid:durableId="672757365">
    <w:abstractNumId w:val="3"/>
  </w:num>
  <w:num w:numId="4" w16cid:durableId="2137672664">
    <w:abstractNumId w:val="4"/>
  </w:num>
  <w:num w:numId="5" w16cid:durableId="316227801">
    <w:abstractNumId w:val="3"/>
    <w:lvlOverride w:ilvl="0">
      <w:startOverride w:val="1"/>
    </w:lvlOverride>
  </w:num>
  <w:num w:numId="6" w16cid:durableId="1592733805">
    <w:abstractNumId w:val="3"/>
    <w:lvlOverride w:ilvl="0">
      <w:startOverride w:val="1"/>
    </w:lvlOverride>
  </w:num>
  <w:num w:numId="7" w16cid:durableId="1224632914">
    <w:abstractNumId w:val="3"/>
    <w:lvlOverride w:ilvl="0">
      <w:startOverride w:val="1"/>
    </w:lvlOverride>
  </w:num>
  <w:num w:numId="8" w16cid:durableId="1461723789">
    <w:abstractNumId w:val="7"/>
  </w:num>
  <w:num w:numId="9" w16cid:durableId="705644028">
    <w:abstractNumId w:val="5"/>
  </w:num>
  <w:num w:numId="10" w16cid:durableId="25376271">
    <w:abstractNumId w:val="5"/>
  </w:num>
  <w:num w:numId="11" w16cid:durableId="723793275">
    <w:abstractNumId w:val="5"/>
  </w:num>
  <w:num w:numId="12" w16cid:durableId="799148384">
    <w:abstractNumId w:val="5"/>
  </w:num>
  <w:num w:numId="13" w16cid:durableId="1789080736">
    <w:abstractNumId w:val="5"/>
  </w:num>
  <w:num w:numId="14" w16cid:durableId="1777673135">
    <w:abstractNumId w:val="5"/>
  </w:num>
  <w:num w:numId="15" w16cid:durableId="1142651625">
    <w:abstractNumId w:val="5"/>
  </w:num>
  <w:num w:numId="16" w16cid:durableId="1134323832">
    <w:abstractNumId w:val="5"/>
  </w:num>
  <w:num w:numId="17" w16cid:durableId="509637242">
    <w:abstractNumId w:val="5"/>
  </w:num>
  <w:num w:numId="18" w16cid:durableId="162553834">
    <w:abstractNumId w:val="5"/>
  </w:num>
  <w:num w:numId="19" w16cid:durableId="283969103">
    <w:abstractNumId w:val="5"/>
  </w:num>
  <w:num w:numId="20" w16cid:durableId="623199242">
    <w:abstractNumId w:val="5"/>
  </w:num>
  <w:num w:numId="21" w16cid:durableId="275989955">
    <w:abstractNumId w:val="5"/>
  </w:num>
  <w:num w:numId="22" w16cid:durableId="1835102113">
    <w:abstractNumId w:val="5"/>
  </w:num>
  <w:num w:numId="23" w16cid:durableId="985861141">
    <w:abstractNumId w:val="5"/>
  </w:num>
  <w:num w:numId="24" w16cid:durableId="1121071212">
    <w:abstractNumId w:val="5"/>
  </w:num>
  <w:num w:numId="25" w16cid:durableId="1193031844">
    <w:abstractNumId w:val="5"/>
  </w:num>
  <w:num w:numId="26" w16cid:durableId="956331017">
    <w:abstractNumId w:val="5"/>
  </w:num>
  <w:num w:numId="27" w16cid:durableId="1719015817">
    <w:abstractNumId w:val="5"/>
  </w:num>
  <w:num w:numId="28" w16cid:durableId="2070301115">
    <w:abstractNumId w:val="5"/>
  </w:num>
  <w:num w:numId="29" w16cid:durableId="130636409">
    <w:abstractNumId w:val="5"/>
  </w:num>
  <w:num w:numId="30" w16cid:durableId="220680582">
    <w:abstractNumId w:val="5"/>
  </w:num>
  <w:num w:numId="31" w16cid:durableId="425031991">
    <w:abstractNumId w:val="5"/>
  </w:num>
  <w:num w:numId="32" w16cid:durableId="459690309">
    <w:abstractNumId w:val="5"/>
  </w:num>
  <w:num w:numId="33" w16cid:durableId="1968310739">
    <w:abstractNumId w:val="5"/>
  </w:num>
  <w:num w:numId="34" w16cid:durableId="299775610">
    <w:abstractNumId w:val="5"/>
  </w:num>
  <w:num w:numId="35" w16cid:durableId="1829133495">
    <w:abstractNumId w:val="5"/>
  </w:num>
  <w:num w:numId="36" w16cid:durableId="1612005602">
    <w:abstractNumId w:val="5"/>
  </w:num>
  <w:num w:numId="37" w16cid:durableId="1373772330">
    <w:abstractNumId w:val="5"/>
  </w:num>
  <w:num w:numId="38" w16cid:durableId="1633710852">
    <w:abstractNumId w:val="5"/>
  </w:num>
  <w:num w:numId="39" w16cid:durableId="673731223">
    <w:abstractNumId w:val="5"/>
  </w:num>
  <w:num w:numId="40" w16cid:durableId="422721532">
    <w:abstractNumId w:val="5"/>
  </w:num>
  <w:num w:numId="41" w16cid:durableId="2090343813">
    <w:abstractNumId w:val="5"/>
  </w:num>
  <w:num w:numId="42" w16cid:durableId="958032765">
    <w:abstractNumId w:val="5"/>
  </w:num>
  <w:num w:numId="43" w16cid:durableId="1456562326">
    <w:abstractNumId w:val="5"/>
  </w:num>
  <w:num w:numId="44" w16cid:durableId="915700124">
    <w:abstractNumId w:val="5"/>
  </w:num>
  <w:num w:numId="45" w16cid:durableId="1659651244">
    <w:abstractNumId w:val="5"/>
  </w:num>
  <w:num w:numId="46" w16cid:durableId="1087844075">
    <w:abstractNumId w:val="5"/>
  </w:num>
  <w:num w:numId="47" w16cid:durableId="999311468">
    <w:abstractNumId w:val="5"/>
  </w:num>
  <w:num w:numId="48" w16cid:durableId="222109643">
    <w:abstractNumId w:val="5"/>
  </w:num>
  <w:num w:numId="49" w16cid:durableId="1526938064">
    <w:abstractNumId w:val="5"/>
  </w:num>
  <w:num w:numId="50" w16cid:durableId="669989181">
    <w:abstractNumId w:val="5"/>
  </w:num>
  <w:num w:numId="51" w16cid:durableId="758335905">
    <w:abstractNumId w:val="5"/>
  </w:num>
  <w:num w:numId="52" w16cid:durableId="653686766">
    <w:abstractNumId w:val="5"/>
  </w:num>
  <w:num w:numId="53" w16cid:durableId="1799831348">
    <w:abstractNumId w:val="5"/>
  </w:num>
  <w:num w:numId="54" w16cid:durableId="1835487521">
    <w:abstractNumId w:val="5"/>
  </w:num>
  <w:num w:numId="55" w16cid:durableId="2037542310">
    <w:abstractNumId w:val="5"/>
  </w:num>
  <w:num w:numId="56" w16cid:durableId="1844196699">
    <w:abstractNumId w:val="5"/>
  </w:num>
  <w:num w:numId="57" w16cid:durableId="1787500735">
    <w:abstractNumId w:val="5"/>
  </w:num>
  <w:num w:numId="58" w16cid:durableId="1107699151">
    <w:abstractNumId w:val="4"/>
  </w:num>
  <w:num w:numId="59" w16cid:durableId="237055723">
    <w:abstractNumId w:val="4"/>
  </w:num>
  <w:num w:numId="60" w16cid:durableId="1708094097">
    <w:abstractNumId w:val="4"/>
  </w:num>
  <w:num w:numId="61" w16cid:durableId="985011288">
    <w:abstractNumId w:val="4"/>
  </w:num>
  <w:num w:numId="62" w16cid:durableId="35355631">
    <w:abstractNumId w:val="4"/>
  </w:num>
  <w:num w:numId="63" w16cid:durableId="1820687061">
    <w:abstractNumId w:val="4"/>
  </w:num>
  <w:num w:numId="64" w16cid:durableId="145054289">
    <w:abstractNumId w:val="5"/>
  </w:num>
  <w:num w:numId="65" w16cid:durableId="1103526390">
    <w:abstractNumId w:val="5"/>
  </w:num>
  <w:num w:numId="66" w16cid:durableId="113640369">
    <w:abstractNumId w:val="5"/>
  </w:num>
  <w:num w:numId="67" w16cid:durableId="713432225">
    <w:abstractNumId w:val="5"/>
  </w:num>
  <w:num w:numId="68" w16cid:durableId="1556624158">
    <w:abstractNumId w:val="5"/>
  </w:num>
  <w:num w:numId="69" w16cid:durableId="1286277936">
    <w:abstractNumId w:val="5"/>
  </w:num>
  <w:num w:numId="70" w16cid:durableId="1328437381">
    <w:abstractNumId w:val="5"/>
  </w:num>
  <w:num w:numId="71" w16cid:durableId="386733523">
    <w:abstractNumId w:val="5"/>
  </w:num>
  <w:num w:numId="72" w16cid:durableId="1153569667">
    <w:abstractNumId w:val="5"/>
  </w:num>
  <w:num w:numId="73" w16cid:durableId="530460846">
    <w:abstractNumId w:val="5"/>
  </w:num>
  <w:num w:numId="74" w16cid:durableId="278419458">
    <w:abstractNumId w:val="5"/>
  </w:num>
  <w:num w:numId="75" w16cid:durableId="2002343056">
    <w:abstractNumId w:val="5"/>
  </w:num>
  <w:num w:numId="76" w16cid:durableId="60254804">
    <w:abstractNumId w:val="6"/>
  </w:num>
  <w:num w:numId="77" w16cid:durableId="1951469027">
    <w:abstractNumId w:val="1"/>
  </w:num>
  <w:num w:numId="78" w16cid:durableId="1050110586">
    <w:abstractNumId w:val="0"/>
  </w:num>
  <w:num w:numId="79" w16cid:durableId="1722288450">
    <w:abstractNumId w:val="2"/>
  </w:num>
  <w:num w:numId="80" w16cid:durableId="1650669417">
    <w:abstractNumId w:val="2"/>
  </w:num>
  <w:num w:numId="81" w16cid:durableId="619994430">
    <w:abstractNumId w:val="2"/>
  </w:num>
  <w:num w:numId="82" w16cid:durableId="1573928523">
    <w:abstractNumId w:val="2"/>
  </w:num>
  <w:num w:numId="83" w16cid:durableId="39987933">
    <w:abstractNumId w:val="5"/>
  </w:num>
  <w:num w:numId="84" w16cid:durableId="1622956579">
    <w:abstractNumId w:val="5"/>
  </w:num>
  <w:num w:numId="85" w16cid:durableId="1024594173">
    <w:abstractNumId w:val="5"/>
  </w:num>
  <w:num w:numId="86" w16cid:durableId="1777872218">
    <w:abstractNumId w:val="5"/>
  </w:num>
  <w:num w:numId="87" w16cid:durableId="1024483695">
    <w:abstractNumId w:val="5"/>
  </w:num>
  <w:num w:numId="88" w16cid:durableId="1766997048">
    <w:abstractNumId w:val="5"/>
  </w:num>
  <w:num w:numId="89" w16cid:durableId="169563979">
    <w:abstractNumId w:val="5"/>
  </w:num>
  <w:num w:numId="90" w16cid:durableId="323821237">
    <w:abstractNumId w:val="5"/>
  </w:num>
  <w:num w:numId="91" w16cid:durableId="403844833">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BA5"/>
    <w:rsid w:val="00001D1F"/>
    <w:rsid w:val="00001E56"/>
    <w:rsid w:val="0000380C"/>
    <w:rsid w:val="00004889"/>
    <w:rsid w:val="00004AE3"/>
    <w:rsid w:val="00004D22"/>
    <w:rsid w:val="00005529"/>
    <w:rsid w:val="0001102D"/>
    <w:rsid w:val="00012205"/>
    <w:rsid w:val="0001296F"/>
    <w:rsid w:val="00013E80"/>
    <w:rsid w:val="00016974"/>
    <w:rsid w:val="00017D24"/>
    <w:rsid w:val="0002186A"/>
    <w:rsid w:val="0002206E"/>
    <w:rsid w:val="0002392D"/>
    <w:rsid w:val="00024E19"/>
    <w:rsid w:val="00025E47"/>
    <w:rsid w:val="000260F1"/>
    <w:rsid w:val="00027B81"/>
    <w:rsid w:val="00030C20"/>
    <w:rsid w:val="0003197C"/>
    <w:rsid w:val="00031C8E"/>
    <w:rsid w:val="00033039"/>
    <w:rsid w:val="0003325D"/>
    <w:rsid w:val="00034852"/>
    <w:rsid w:val="00035260"/>
    <w:rsid w:val="00041FDC"/>
    <w:rsid w:val="00044CB6"/>
    <w:rsid w:val="00044ED7"/>
    <w:rsid w:val="000452B8"/>
    <w:rsid w:val="00045823"/>
    <w:rsid w:val="00045E4D"/>
    <w:rsid w:val="00046F2F"/>
    <w:rsid w:val="0004743A"/>
    <w:rsid w:val="0004792A"/>
    <w:rsid w:val="0005394F"/>
    <w:rsid w:val="00054740"/>
    <w:rsid w:val="00054D37"/>
    <w:rsid w:val="00057D8A"/>
    <w:rsid w:val="00063E30"/>
    <w:rsid w:val="00066042"/>
    <w:rsid w:val="00070C19"/>
    <w:rsid w:val="000712DF"/>
    <w:rsid w:val="00071F8B"/>
    <w:rsid w:val="00074144"/>
    <w:rsid w:val="0007685A"/>
    <w:rsid w:val="0008029F"/>
    <w:rsid w:val="00083132"/>
    <w:rsid w:val="00087EBB"/>
    <w:rsid w:val="00092B3E"/>
    <w:rsid w:val="00094B1A"/>
    <w:rsid w:val="00096382"/>
    <w:rsid w:val="00097D93"/>
    <w:rsid w:val="000A16AF"/>
    <w:rsid w:val="000A3201"/>
    <w:rsid w:val="000A4DD8"/>
    <w:rsid w:val="000A5D25"/>
    <w:rsid w:val="000B03F6"/>
    <w:rsid w:val="000B2598"/>
    <w:rsid w:val="000B26EE"/>
    <w:rsid w:val="000B4081"/>
    <w:rsid w:val="000B4EE2"/>
    <w:rsid w:val="000B5AB7"/>
    <w:rsid w:val="000B63D1"/>
    <w:rsid w:val="000B7C52"/>
    <w:rsid w:val="000C002D"/>
    <w:rsid w:val="000C0363"/>
    <w:rsid w:val="000C0908"/>
    <w:rsid w:val="000C22C5"/>
    <w:rsid w:val="000C3B5F"/>
    <w:rsid w:val="000D1A3D"/>
    <w:rsid w:val="000D2849"/>
    <w:rsid w:val="000D30AA"/>
    <w:rsid w:val="000D409B"/>
    <w:rsid w:val="000D525F"/>
    <w:rsid w:val="000D5E87"/>
    <w:rsid w:val="000E146D"/>
    <w:rsid w:val="000E2BBC"/>
    <w:rsid w:val="000E38E0"/>
    <w:rsid w:val="000E6F34"/>
    <w:rsid w:val="000F06D1"/>
    <w:rsid w:val="000F12A0"/>
    <w:rsid w:val="000F1C0C"/>
    <w:rsid w:val="000F1DBB"/>
    <w:rsid w:val="000F2AF2"/>
    <w:rsid w:val="000F3929"/>
    <w:rsid w:val="000F5EE6"/>
    <w:rsid w:val="0010168C"/>
    <w:rsid w:val="00101BAE"/>
    <w:rsid w:val="001041A3"/>
    <w:rsid w:val="001046FC"/>
    <w:rsid w:val="001061F3"/>
    <w:rsid w:val="0010650D"/>
    <w:rsid w:val="00107FD8"/>
    <w:rsid w:val="001132AF"/>
    <w:rsid w:val="001139FB"/>
    <w:rsid w:val="00115219"/>
    <w:rsid w:val="0011538B"/>
    <w:rsid w:val="0011609A"/>
    <w:rsid w:val="00116D21"/>
    <w:rsid w:val="00117D99"/>
    <w:rsid w:val="00120775"/>
    <w:rsid w:val="0012089F"/>
    <w:rsid w:val="0012391D"/>
    <w:rsid w:val="00125363"/>
    <w:rsid w:val="0012573C"/>
    <w:rsid w:val="001264D2"/>
    <w:rsid w:val="0013018B"/>
    <w:rsid w:val="0013025A"/>
    <w:rsid w:val="001309CF"/>
    <w:rsid w:val="00131B20"/>
    <w:rsid w:val="00131C94"/>
    <w:rsid w:val="00132BA5"/>
    <w:rsid w:val="001339FC"/>
    <w:rsid w:val="00133A54"/>
    <w:rsid w:val="00133D91"/>
    <w:rsid w:val="0013406B"/>
    <w:rsid w:val="00137A47"/>
    <w:rsid w:val="00140AA8"/>
    <w:rsid w:val="0014198A"/>
    <w:rsid w:val="00145A15"/>
    <w:rsid w:val="001463DA"/>
    <w:rsid w:val="00146A55"/>
    <w:rsid w:val="00146FB9"/>
    <w:rsid w:val="00150E59"/>
    <w:rsid w:val="00151CD8"/>
    <w:rsid w:val="001521E2"/>
    <w:rsid w:val="00154EE9"/>
    <w:rsid w:val="00156788"/>
    <w:rsid w:val="00156987"/>
    <w:rsid w:val="00157BAE"/>
    <w:rsid w:val="00161882"/>
    <w:rsid w:val="0016425F"/>
    <w:rsid w:val="00164D29"/>
    <w:rsid w:val="00164E5E"/>
    <w:rsid w:val="001651BF"/>
    <w:rsid w:val="00165CE0"/>
    <w:rsid w:val="00166F7B"/>
    <w:rsid w:val="001671ED"/>
    <w:rsid w:val="00170CC6"/>
    <w:rsid w:val="00171B06"/>
    <w:rsid w:val="001733FA"/>
    <w:rsid w:val="001760C8"/>
    <w:rsid w:val="0017692D"/>
    <w:rsid w:val="0017740A"/>
    <w:rsid w:val="00177A5F"/>
    <w:rsid w:val="001810E3"/>
    <w:rsid w:val="00181D1A"/>
    <w:rsid w:val="001838EF"/>
    <w:rsid w:val="001859B4"/>
    <w:rsid w:val="0018671A"/>
    <w:rsid w:val="00186A7A"/>
    <w:rsid w:val="00190A55"/>
    <w:rsid w:val="00190F8D"/>
    <w:rsid w:val="00191EE1"/>
    <w:rsid w:val="0019234E"/>
    <w:rsid w:val="00193D5D"/>
    <w:rsid w:val="00195167"/>
    <w:rsid w:val="0019536C"/>
    <w:rsid w:val="00196534"/>
    <w:rsid w:val="001A0319"/>
    <w:rsid w:val="001A27AA"/>
    <w:rsid w:val="001A6120"/>
    <w:rsid w:val="001A7642"/>
    <w:rsid w:val="001B13E3"/>
    <w:rsid w:val="001B1D7F"/>
    <w:rsid w:val="001B2B5E"/>
    <w:rsid w:val="001B313E"/>
    <w:rsid w:val="001B4562"/>
    <w:rsid w:val="001B62E4"/>
    <w:rsid w:val="001B7F02"/>
    <w:rsid w:val="001C0088"/>
    <w:rsid w:val="001C4091"/>
    <w:rsid w:val="001C42FF"/>
    <w:rsid w:val="001C5F37"/>
    <w:rsid w:val="001C69D1"/>
    <w:rsid w:val="001C6FA5"/>
    <w:rsid w:val="001C7647"/>
    <w:rsid w:val="001C7DF5"/>
    <w:rsid w:val="001D029F"/>
    <w:rsid w:val="001D0498"/>
    <w:rsid w:val="001D0DEF"/>
    <w:rsid w:val="001D1435"/>
    <w:rsid w:val="001D1E59"/>
    <w:rsid w:val="001D3858"/>
    <w:rsid w:val="001D38DD"/>
    <w:rsid w:val="001D3AC5"/>
    <w:rsid w:val="001D4E64"/>
    <w:rsid w:val="001D6E58"/>
    <w:rsid w:val="001D713D"/>
    <w:rsid w:val="001D71CC"/>
    <w:rsid w:val="001E00C3"/>
    <w:rsid w:val="001E092E"/>
    <w:rsid w:val="001E5358"/>
    <w:rsid w:val="001E7161"/>
    <w:rsid w:val="001E7FE4"/>
    <w:rsid w:val="001F2E5E"/>
    <w:rsid w:val="001F2F6C"/>
    <w:rsid w:val="001F37D2"/>
    <w:rsid w:val="001F42FD"/>
    <w:rsid w:val="001F43E4"/>
    <w:rsid w:val="001F4F85"/>
    <w:rsid w:val="001F59DC"/>
    <w:rsid w:val="001F76C4"/>
    <w:rsid w:val="002007C9"/>
    <w:rsid w:val="0020136B"/>
    <w:rsid w:val="0020502E"/>
    <w:rsid w:val="00205B66"/>
    <w:rsid w:val="00205C67"/>
    <w:rsid w:val="0021192F"/>
    <w:rsid w:val="00211DCC"/>
    <w:rsid w:val="002126B9"/>
    <w:rsid w:val="00212C0E"/>
    <w:rsid w:val="00213F76"/>
    <w:rsid w:val="0021545D"/>
    <w:rsid w:val="00215DF2"/>
    <w:rsid w:val="0022173F"/>
    <w:rsid w:val="00224CFA"/>
    <w:rsid w:val="00224E83"/>
    <w:rsid w:val="00227D1A"/>
    <w:rsid w:val="00227F8E"/>
    <w:rsid w:val="00230543"/>
    <w:rsid w:val="002306DC"/>
    <w:rsid w:val="00230A43"/>
    <w:rsid w:val="00232CFD"/>
    <w:rsid w:val="00232DA8"/>
    <w:rsid w:val="00234CFF"/>
    <w:rsid w:val="0023530B"/>
    <w:rsid w:val="0023568C"/>
    <w:rsid w:val="00235DEB"/>
    <w:rsid w:val="00236244"/>
    <w:rsid w:val="0023682A"/>
    <w:rsid w:val="00240019"/>
    <w:rsid w:val="00240666"/>
    <w:rsid w:val="002432FE"/>
    <w:rsid w:val="00245655"/>
    <w:rsid w:val="00247967"/>
    <w:rsid w:val="0025018C"/>
    <w:rsid w:val="002503A8"/>
    <w:rsid w:val="00251882"/>
    <w:rsid w:val="00253B56"/>
    <w:rsid w:val="002540A8"/>
    <w:rsid w:val="00254BC7"/>
    <w:rsid w:val="00255295"/>
    <w:rsid w:val="00257923"/>
    <w:rsid w:val="00257F87"/>
    <w:rsid w:val="00261EB6"/>
    <w:rsid w:val="00262796"/>
    <w:rsid w:val="00262BF1"/>
    <w:rsid w:val="00262F13"/>
    <w:rsid w:val="00264D5A"/>
    <w:rsid w:val="00265EF1"/>
    <w:rsid w:val="00265FF9"/>
    <w:rsid w:val="00270C45"/>
    <w:rsid w:val="0027112F"/>
    <w:rsid w:val="00275FA9"/>
    <w:rsid w:val="00276E0C"/>
    <w:rsid w:val="00277901"/>
    <w:rsid w:val="00282208"/>
    <w:rsid w:val="00285828"/>
    <w:rsid w:val="0028606E"/>
    <w:rsid w:val="00286A7B"/>
    <w:rsid w:val="002900B0"/>
    <w:rsid w:val="00290A21"/>
    <w:rsid w:val="00290C7B"/>
    <w:rsid w:val="0029458C"/>
    <w:rsid w:val="002A1F7B"/>
    <w:rsid w:val="002A51DF"/>
    <w:rsid w:val="002A5D43"/>
    <w:rsid w:val="002A6446"/>
    <w:rsid w:val="002A7388"/>
    <w:rsid w:val="002B0BF1"/>
    <w:rsid w:val="002B5260"/>
    <w:rsid w:val="002B5274"/>
    <w:rsid w:val="002B614C"/>
    <w:rsid w:val="002B697E"/>
    <w:rsid w:val="002C0030"/>
    <w:rsid w:val="002C420A"/>
    <w:rsid w:val="002C66FB"/>
    <w:rsid w:val="002C6A3F"/>
    <w:rsid w:val="002C7974"/>
    <w:rsid w:val="002D0268"/>
    <w:rsid w:val="002D2556"/>
    <w:rsid w:val="002D3447"/>
    <w:rsid w:val="002D4551"/>
    <w:rsid w:val="002D50B9"/>
    <w:rsid w:val="002D617B"/>
    <w:rsid w:val="002E084B"/>
    <w:rsid w:val="002E0FFB"/>
    <w:rsid w:val="002E32DA"/>
    <w:rsid w:val="002E3951"/>
    <w:rsid w:val="002E4070"/>
    <w:rsid w:val="002E460F"/>
    <w:rsid w:val="002E48C3"/>
    <w:rsid w:val="002F15F0"/>
    <w:rsid w:val="002F5DC9"/>
    <w:rsid w:val="002F6013"/>
    <w:rsid w:val="002F6BE6"/>
    <w:rsid w:val="002F7037"/>
    <w:rsid w:val="0030098D"/>
    <w:rsid w:val="00301D4C"/>
    <w:rsid w:val="00305E9B"/>
    <w:rsid w:val="0030605D"/>
    <w:rsid w:val="003071BE"/>
    <w:rsid w:val="00307A3B"/>
    <w:rsid w:val="00311B44"/>
    <w:rsid w:val="00312D83"/>
    <w:rsid w:val="00313A0A"/>
    <w:rsid w:val="003160EA"/>
    <w:rsid w:val="00322190"/>
    <w:rsid w:val="00324DC0"/>
    <w:rsid w:val="00325986"/>
    <w:rsid w:val="00325C1A"/>
    <w:rsid w:val="003264BD"/>
    <w:rsid w:val="00326B66"/>
    <w:rsid w:val="00331D2A"/>
    <w:rsid w:val="003327D4"/>
    <w:rsid w:val="00333349"/>
    <w:rsid w:val="00334661"/>
    <w:rsid w:val="00336602"/>
    <w:rsid w:val="00337C8E"/>
    <w:rsid w:val="00337FBE"/>
    <w:rsid w:val="0034104B"/>
    <w:rsid w:val="00343A6D"/>
    <w:rsid w:val="0034435B"/>
    <w:rsid w:val="00346961"/>
    <w:rsid w:val="003474C5"/>
    <w:rsid w:val="00347E49"/>
    <w:rsid w:val="00347F33"/>
    <w:rsid w:val="00351D1E"/>
    <w:rsid w:val="003529CE"/>
    <w:rsid w:val="003529FD"/>
    <w:rsid w:val="00352F94"/>
    <w:rsid w:val="00353418"/>
    <w:rsid w:val="00353EB8"/>
    <w:rsid w:val="00354D7C"/>
    <w:rsid w:val="00354DE5"/>
    <w:rsid w:val="00354F7E"/>
    <w:rsid w:val="00355623"/>
    <w:rsid w:val="00355E5A"/>
    <w:rsid w:val="00356728"/>
    <w:rsid w:val="00356C8D"/>
    <w:rsid w:val="00356F50"/>
    <w:rsid w:val="00361EBE"/>
    <w:rsid w:val="003656F6"/>
    <w:rsid w:val="0036676E"/>
    <w:rsid w:val="00367C36"/>
    <w:rsid w:val="003714D4"/>
    <w:rsid w:val="00371690"/>
    <w:rsid w:val="00372A94"/>
    <w:rsid w:val="00372CFC"/>
    <w:rsid w:val="00372DF2"/>
    <w:rsid w:val="00374681"/>
    <w:rsid w:val="00374A0E"/>
    <w:rsid w:val="00374D0D"/>
    <w:rsid w:val="0038015B"/>
    <w:rsid w:val="00382167"/>
    <w:rsid w:val="00382217"/>
    <w:rsid w:val="003826CF"/>
    <w:rsid w:val="00383481"/>
    <w:rsid w:val="003902A9"/>
    <w:rsid w:val="00390794"/>
    <w:rsid w:val="00391EF7"/>
    <w:rsid w:val="00392828"/>
    <w:rsid w:val="003939E1"/>
    <w:rsid w:val="00393DE4"/>
    <w:rsid w:val="00394914"/>
    <w:rsid w:val="0039768D"/>
    <w:rsid w:val="003A017C"/>
    <w:rsid w:val="003A027F"/>
    <w:rsid w:val="003A297F"/>
    <w:rsid w:val="003A30F3"/>
    <w:rsid w:val="003A32C5"/>
    <w:rsid w:val="003A3CB0"/>
    <w:rsid w:val="003A432C"/>
    <w:rsid w:val="003A52A1"/>
    <w:rsid w:val="003A558A"/>
    <w:rsid w:val="003B06DA"/>
    <w:rsid w:val="003B1037"/>
    <w:rsid w:val="003B2675"/>
    <w:rsid w:val="003B26B5"/>
    <w:rsid w:val="003B3359"/>
    <w:rsid w:val="003B53DE"/>
    <w:rsid w:val="003B5F09"/>
    <w:rsid w:val="003C1301"/>
    <w:rsid w:val="003C23CF"/>
    <w:rsid w:val="003C3257"/>
    <w:rsid w:val="003C4F05"/>
    <w:rsid w:val="003C5EA6"/>
    <w:rsid w:val="003C5FA4"/>
    <w:rsid w:val="003D1A8B"/>
    <w:rsid w:val="003D276D"/>
    <w:rsid w:val="003D34F3"/>
    <w:rsid w:val="003D6FF5"/>
    <w:rsid w:val="003D7478"/>
    <w:rsid w:val="003D76A2"/>
    <w:rsid w:val="003E0F2E"/>
    <w:rsid w:val="003E2173"/>
    <w:rsid w:val="003E257B"/>
    <w:rsid w:val="003E2B91"/>
    <w:rsid w:val="003E328B"/>
    <w:rsid w:val="003E361C"/>
    <w:rsid w:val="003E7236"/>
    <w:rsid w:val="003F28F2"/>
    <w:rsid w:val="003F41E9"/>
    <w:rsid w:val="003F4642"/>
    <w:rsid w:val="003F554C"/>
    <w:rsid w:val="003F5E36"/>
    <w:rsid w:val="003F7791"/>
    <w:rsid w:val="0040414D"/>
    <w:rsid w:val="00404ECC"/>
    <w:rsid w:val="0040590C"/>
    <w:rsid w:val="00407D96"/>
    <w:rsid w:val="00411786"/>
    <w:rsid w:val="004129C9"/>
    <w:rsid w:val="00412F1C"/>
    <w:rsid w:val="00413688"/>
    <w:rsid w:val="004145A2"/>
    <w:rsid w:val="00415CE6"/>
    <w:rsid w:val="00415ED8"/>
    <w:rsid w:val="00416A24"/>
    <w:rsid w:val="0041750F"/>
    <w:rsid w:val="00417B27"/>
    <w:rsid w:val="00420017"/>
    <w:rsid w:val="00421941"/>
    <w:rsid w:val="004219CA"/>
    <w:rsid w:val="00423441"/>
    <w:rsid w:val="00427132"/>
    <w:rsid w:val="0043050E"/>
    <w:rsid w:val="00434A74"/>
    <w:rsid w:val="004355C7"/>
    <w:rsid w:val="0043598E"/>
    <w:rsid w:val="0043599A"/>
    <w:rsid w:val="00437CCD"/>
    <w:rsid w:val="00440DDF"/>
    <w:rsid w:val="00440E9D"/>
    <w:rsid w:val="00444296"/>
    <w:rsid w:val="00446771"/>
    <w:rsid w:val="00446D5F"/>
    <w:rsid w:val="00447CF3"/>
    <w:rsid w:val="004503F8"/>
    <w:rsid w:val="00451DFD"/>
    <w:rsid w:val="004527B7"/>
    <w:rsid w:val="00453D82"/>
    <w:rsid w:val="0045538F"/>
    <w:rsid w:val="00455667"/>
    <w:rsid w:val="00455C80"/>
    <w:rsid w:val="00457DF1"/>
    <w:rsid w:val="00460C48"/>
    <w:rsid w:val="0046267E"/>
    <w:rsid w:val="004657DE"/>
    <w:rsid w:val="00466EEA"/>
    <w:rsid w:val="00473DE6"/>
    <w:rsid w:val="004742B7"/>
    <w:rsid w:val="0047675C"/>
    <w:rsid w:val="004772B7"/>
    <w:rsid w:val="004800CE"/>
    <w:rsid w:val="00481AB0"/>
    <w:rsid w:val="00481EBD"/>
    <w:rsid w:val="00484F00"/>
    <w:rsid w:val="004857FC"/>
    <w:rsid w:val="0049090D"/>
    <w:rsid w:val="00491EBF"/>
    <w:rsid w:val="0049258E"/>
    <w:rsid w:val="00495368"/>
    <w:rsid w:val="0049577F"/>
    <w:rsid w:val="00496702"/>
    <w:rsid w:val="00497935"/>
    <w:rsid w:val="004A042F"/>
    <w:rsid w:val="004A1060"/>
    <w:rsid w:val="004A2321"/>
    <w:rsid w:val="004A63B2"/>
    <w:rsid w:val="004A6411"/>
    <w:rsid w:val="004B09F4"/>
    <w:rsid w:val="004B235F"/>
    <w:rsid w:val="004B2DAE"/>
    <w:rsid w:val="004B2FFF"/>
    <w:rsid w:val="004B41CF"/>
    <w:rsid w:val="004B488F"/>
    <w:rsid w:val="004B51BE"/>
    <w:rsid w:val="004B5B2D"/>
    <w:rsid w:val="004B5E3F"/>
    <w:rsid w:val="004B798C"/>
    <w:rsid w:val="004C0FC1"/>
    <w:rsid w:val="004C1839"/>
    <w:rsid w:val="004C36CA"/>
    <w:rsid w:val="004C3A3C"/>
    <w:rsid w:val="004C48F3"/>
    <w:rsid w:val="004C5A0F"/>
    <w:rsid w:val="004C5AE8"/>
    <w:rsid w:val="004C5DDC"/>
    <w:rsid w:val="004C7A99"/>
    <w:rsid w:val="004D0C2C"/>
    <w:rsid w:val="004D2AEA"/>
    <w:rsid w:val="004D2D2D"/>
    <w:rsid w:val="004D5207"/>
    <w:rsid w:val="004D662B"/>
    <w:rsid w:val="004E55A1"/>
    <w:rsid w:val="004E5936"/>
    <w:rsid w:val="004F22DD"/>
    <w:rsid w:val="004F25B7"/>
    <w:rsid w:val="004F3C6E"/>
    <w:rsid w:val="005029B5"/>
    <w:rsid w:val="00502E59"/>
    <w:rsid w:val="00503322"/>
    <w:rsid w:val="00505D5E"/>
    <w:rsid w:val="00507B0C"/>
    <w:rsid w:val="00510060"/>
    <w:rsid w:val="00511C29"/>
    <w:rsid w:val="00514D69"/>
    <w:rsid w:val="00516234"/>
    <w:rsid w:val="005209BA"/>
    <w:rsid w:val="00520F25"/>
    <w:rsid w:val="00521180"/>
    <w:rsid w:val="00521AA3"/>
    <w:rsid w:val="00522EB4"/>
    <w:rsid w:val="0052573B"/>
    <w:rsid w:val="005261AC"/>
    <w:rsid w:val="00526843"/>
    <w:rsid w:val="00527628"/>
    <w:rsid w:val="005279D2"/>
    <w:rsid w:val="00527D05"/>
    <w:rsid w:val="00530269"/>
    <w:rsid w:val="00530889"/>
    <w:rsid w:val="00531B7F"/>
    <w:rsid w:val="00531BDD"/>
    <w:rsid w:val="00531D19"/>
    <w:rsid w:val="00533859"/>
    <w:rsid w:val="005355D6"/>
    <w:rsid w:val="00536703"/>
    <w:rsid w:val="00540F5A"/>
    <w:rsid w:val="00541A35"/>
    <w:rsid w:val="0054623E"/>
    <w:rsid w:val="00546362"/>
    <w:rsid w:val="0054652C"/>
    <w:rsid w:val="005469B0"/>
    <w:rsid w:val="005516BE"/>
    <w:rsid w:val="005523BB"/>
    <w:rsid w:val="00553348"/>
    <w:rsid w:val="0055375A"/>
    <w:rsid w:val="005557F2"/>
    <w:rsid w:val="005564B7"/>
    <w:rsid w:val="0056199E"/>
    <w:rsid w:val="00562B19"/>
    <w:rsid w:val="005636B1"/>
    <w:rsid w:val="0056522F"/>
    <w:rsid w:val="0056560D"/>
    <w:rsid w:val="00566B86"/>
    <w:rsid w:val="00566EB5"/>
    <w:rsid w:val="00567663"/>
    <w:rsid w:val="00567908"/>
    <w:rsid w:val="00570297"/>
    <w:rsid w:val="005713DD"/>
    <w:rsid w:val="00571F8A"/>
    <w:rsid w:val="00572969"/>
    <w:rsid w:val="00573F15"/>
    <w:rsid w:val="00576845"/>
    <w:rsid w:val="00577194"/>
    <w:rsid w:val="00581F88"/>
    <w:rsid w:val="00584ED7"/>
    <w:rsid w:val="005857AD"/>
    <w:rsid w:val="0059019E"/>
    <w:rsid w:val="0059058A"/>
    <w:rsid w:val="005928F5"/>
    <w:rsid w:val="005929B2"/>
    <w:rsid w:val="00593740"/>
    <w:rsid w:val="00593F5E"/>
    <w:rsid w:val="005948BB"/>
    <w:rsid w:val="00594A92"/>
    <w:rsid w:val="005957D1"/>
    <w:rsid w:val="005A1B9D"/>
    <w:rsid w:val="005A1CBA"/>
    <w:rsid w:val="005A1DE5"/>
    <w:rsid w:val="005A4609"/>
    <w:rsid w:val="005A566F"/>
    <w:rsid w:val="005A6967"/>
    <w:rsid w:val="005B3D03"/>
    <w:rsid w:val="005B62A0"/>
    <w:rsid w:val="005C01C9"/>
    <w:rsid w:val="005C526D"/>
    <w:rsid w:val="005C5DA6"/>
    <w:rsid w:val="005C75E1"/>
    <w:rsid w:val="005C7C72"/>
    <w:rsid w:val="005D2092"/>
    <w:rsid w:val="005D3BD3"/>
    <w:rsid w:val="005D4FBC"/>
    <w:rsid w:val="005D7DC9"/>
    <w:rsid w:val="005E0989"/>
    <w:rsid w:val="005E24C5"/>
    <w:rsid w:val="005E2E77"/>
    <w:rsid w:val="005E3F23"/>
    <w:rsid w:val="005E3F73"/>
    <w:rsid w:val="005E57BE"/>
    <w:rsid w:val="005E63B4"/>
    <w:rsid w:val="005E67DB"/>
    <w:rsid w:val="005F2E23"/>
    <w:rsid w:val="005F3828"/>
    <w:rsid w:val="005F4C3C"/>
    <w:rsid w:val="0060117B"/>
    <w:rsid w:val="0060160C"/>
    <w:rsid w:val="006016C5"/>
    <w:rsid w:val="0060172D"/>
    <w:rsid w:val="0060229D"/>
    <w:rsid w:val="00602347"/>
    <w:rsid w:val="00604870"/>
    <w:rsid w:val="00606E6A"/>
    <w:rsid w:val="00607985"/>
    <w:rsid w:val="006173E3"/>
    <w:rsid w:val="00617883"/>
    <w:rsid w:val="006179BC"/>
    <w:rsid w:val="006206D8"/>
    <w:rsid w:val="00622A95"/>
    <w:rsid w:val="00624D89"/>
    <w:rsid w:val="00626159"/>
    <w:rsid w:val="006268ED"/>
    <w:rsid w:val="00626F19"/>
    <w:rsid w:val="00630075"/>
    <w:rsid w:val="00630BD4"/>
    <w:rsid w:val="0063216E"/>
    <w:rsid w:val="006346A8"/>
    <w:rsid w:val="00634EF5"/>
    <w:rsid w:val="00636A2C"/>
    <w:rsid w:val="00636ACF"/>
    <w:rsid w:val="00637196"/>
    <w:rsid w:val="00640CAF"/>
    <w:rsid w:val="0064124D"/>
    <w:rsid w:val="00641797"/>
    <w:rsid w:val="0064284E"/>
    <w:rsid w:val="006437F9"/>
    <w:rsid w:val="00644B07"/>
    <w:rsid w:val="00644C51"/>
    <w:rsid w:val="00645223"/>
    <w:rsid w:val="006475BD"/>
    <w:rsid w:val="00651D01"/>
    <w:rsid w:val="006528D8"/>
    <w:rsid w:val="00653381"/>
    <w:rsid w:val="0065398F"/>
    <w:rsid w:val="006540F8"/>
    <w:rsid w:val="006564B2"/>
    <w:rsid w:val="00660865"/>
    <w:rsid w:val="0066300E"/>
    <w:rsid w:val="00664629"/>
    <w:rsid w:val="0066487B"/>
    <w:rsid w:val="006653AB"/>
    <w:rsid w:val="00665E4D"/>
    <w:rsid w:val="006672B0"/>
    <w:rsid w:val="0067028C"/>
    <w:rsid w:val="0067328C"/>
    <w:rsid w:val="006738A6"/>
    <w:rsid w:val="00673B55"/>
    <w:rsid w:val="00674E03"/>
    <w:rsid w:val="006759F6"/>
    <w:rsid w:val="00675B08"/>
    <w:rsid w:val="00676E21"/>
    <w:rsid w:val="00677870"/>
    <w:rsid w:val="00681CC7"/>
    <w:rsid w:val="00681D48"/>
    <w:rsid w:val="0068282C"/>
    <w:rsid w:val="00684580"/>
    <w:rsid w:val="00685535"/>
    <w:rsid w:val="00685A98"/>
    <w:rsid w:val="00687AA6"/>
    <w:rsid w:val="00691BED"/>
    <w:rsid w:val="00691C2E"/>
    <w:rsid w:val="006923B5"/>
    <w:rsid w:val="00694E7A"/>
    <w:rsid w:val="00697F66"/>
    <w:rsid w:val="006A0380"/>
    <w:rsid w:val="006A096C"/>
    <w:rsid w:val="006A2A0E"/>
    <w:rsid w:val="006A4BDE"/>
    <w:rsid w:val="006A5A28"/>
    <w:rsid w:val="006A685D"/>
    <w:rsid w:val="006B450D"/>
    <w:rsid w:val="006B4819"/>
    <w:rsid w:val="006B51E8"/>
    <w:rsid w:val="006B684D"/>
    <w:rsid w:val="006C0268"/>
    <w:rsid w:val="006C4F18"/>
    <w:rsid w:val="006C61EE"/>
    <w:rsid w:val="006D01E9"/>
    <w:rsid w:val="006D1000"/>
    <w:rsid w:val="006D296B"/>
    <w:rsid w:val="006D33B3"/>
    <w:rsid w:val="006D7A42"/>
    <w:rsid w:val="006E2F4E"/>
    <w:rsid w:val="006E6CB0"/>
    <w:rsid w:val="006E7107"/>
    <w:rsid w:val="006E77E7"/>
    <w:rsid w:val="006F1147"/>
    <w:rsid w:val="006F1605"/>
    <w:rsid w:val="006F1A12"/>
    <w:rsid w:val="006F31E2"/>
    <w:rsid w:val="006F3230"/>
    <w:rsid w:val="006F335A"/>
    <w:rsid w:val="006F3D02"/>
    <w:rsid w:val="006F5E6D"/>
    <w:rsid w:val="006F6D30"/>
    <w:rsid w:val="006F71BD"/>
    <w:rsid w:val="006F77C8"/>
    <w:rsid w:val="00700E2E"/>
    <w:rsid w:val="007018C8"/>
    <w:rsid w:val="00704023"/>
    <w:rsid w:val="007047AF"/>
    <w:rsid w:val="00705476"/>
    <w:rsid w:val="00706BFD"/>
    <w:rsid w:val="007105DE"/>
    <w:rsid w:val="00712BCE"/>
    <w:rsid w:val="007144AA"/>
    <w:rsid w:val="00714F0C"/>
    <w:rsid w:val="007152CE"/>
    <w:rsid w:val="00715D24"/>
    <w:rsid w:val="00716F58"/>
    <w:rsid w:val="007205F7"/>
    <w:rsid w:val="00722E65"/>
    <w:rsid w:val="00723827"/>
    <w:rsid w:val="00726D7A"/>
    <w:rsid w:val="00730727"/>
    <w:rsid w:val="00730CB6"/>
    <w:rsid w:val="00732054"/>
    <w:rsid w:val="00732245"/>
    <w:rsid w:val="00732CBB"/>
    <w:rsid w:val="00732F28"/>
    <w:rsid w:val="00733AEE"/>
    <w:rsid w:val="00735C2F"/>
    <w:rsid w:val="00735D31"/>
    <w:rsid w:val="00736360"/>
    <w:rsid w:val="007372DA"/>
    <w:rsid w:val="00737FFA"/>
    <w:rsid w:val="00740332"/>
    <w:rsid w:val="007419CF"/>
    <w:rsid w:val="00741D67"/>
    <w:rsid w:val="0074260F"/>
    <w:rsid w:val="00742E50"/>
    <w:rsid w:val="007469E4"/>
    <w:rsid w:val="00746EE0"/>
    <w:rsid w:val="007504FE"/>
    <w:rsid w:val="00751EDB"/>
    <w:rsid w:val="00752447"/>
    <w:rsid w:val="00756A3D"/>
    <w:rsid w:val="00757F4D"/>
    <w:rsid w:val="00761265"/>
    <w:rsid w:val="00764102"/>
    <w:rsid w:val="00771361"/>
    <w:rsid w:val="00773CCC"/>
    <w:rsid w:val="00774751"/>
    <w:rsid w:val="0077602B"/>
    <w:rsid w:val="00780044"/>
    <w:rsid w:val="00781820"/>
    <w:rsid w:val="00783885"/>
    <w:rsid w:val="00786308"/>
    <w:rsid w:val="007866FA"/>
    <w:rsid w:val="00786908"/>
    <w:rsid w:val="00790725"/>
    <w:rsid w:val="0079121D"/>
    <w:rsid w:val="007928B2"/>
    <w:rsid w:val="00793B25"/>
    <w:rsid w:val="00793C5C"/>
    <w:rsid w:val="00794EE4"/>
    <w:rsid w:val="00794FC6"/>
    <w:rsid w:val="00795B15"/>
    <w:rsid w:val="0079723C"/>
    <w:rsid w:val="007A1FFC"/>
    <w:rsid w:val="007A2687"/>
    <w:rsid w:val="007A3157"/>
    <w:rsid w:val="007A35BD"/>
    <w:rsid w:val="007A3A86"/>
    <w:rsid w:val="007A46A0"/>
    <w:rsid w:val="007A4DDA"/>
    <w:rsid w:val="007A6449"/>
    <w:rsid w:val="007B0544"/>
    <w:rsid w:val="007B31A5"/>
    <w:rsid w:val="007B4E8B"/>
    <w:rsid w:val="007B5AA9"/>
    <w:rsid w:val="007B6453"/>
    <w:rsid w:val="007B6AEF"/>
    <w:rsid w:val="007C17A1"/>
    <w:rsid w:val="007C2B5A"/>
    <w:rsid w:val="007C2D2E"/>
    <w:rsid w:val="007C3AC2"/>
    <w:rsid w:val="007C43FC"/>
    <w:rsid w:val="007C54AC"/>
    <w:rsid w:val="007C6C88"/>
    <w:rsid w:val="007C759D"/>
    <w:rsid w:val="007D0371"/>
    <w:rsid w:val="007D159F"/>
    <w:rsid w:val="007D3787"/>
    <w:rsid w:val="007D410A"/>
    <w:rsid w:val="007D46BF"/>
    <w:rsid w:val="007D4984"/>
    <w:rsid w:val="007D6991"/>
    <w:rsid w:val="007D705D"/>
    <w:rsid w:val="007E05DE"/>
    <w:rsid w:val="007E19C0"/>
    <w:rsid w:val="007E1AEC"/>
    <w:rsid w:val="007E4229"/>
    <w:rsid w:val="007E455E"/>
    <w:rsid w:val="007E483D"/>
    <w:rsid w:val="007E5976"/>
    <w:rsid w:val="007E5EA1"/>
    <w:rsid w:val="007E77EC"/>
    <w:rsid w:val="007F054B"/>
    <w:rsid w:val="007F0AD6"/>
    <w:rsid w:val="007F24B4"/>
    <w:rsid w:val="007F32E1"/>
    <w:rsid w:val="007F32F9"/>
    <w:rsid w:val="007F457E"/>
    <w:rsid w:val="007F536C"/>
    <w:rsid w:val="007F5851"/>
    <w:rsid w:val="007F6E09"/>
    <w:rsid w:val="007F75D4"/>
    <w:rsid w:val="007F7617"/>
    <w:rsid w:val="007F7B45"/>
    <w:rsid w:val="00800095"/>
    <w:rsid w:val="008013AD"/>
    <w:rsid w:val="00801999"/>
    <w:rsid w:val="00802C9F"/>
    <w:rsid w:val="008046A5"/>
    <w:rsid w:val="00804AEE"/>
    <w:rsid w:val="00805170"/>
    <w:rsid w:val="00805A87"/>
    <w:rsid w:val="00807C6E"/>
    <w:rsid w:val="00810F7B"/>
    <w:rsid w:val="00813DF8"/>
    <w:rsid w:val="00814FFE"/>
    <w:rsid w:val="008176EF"/>
    <w:rsid w:val="00820BB3"/>
    <w:rsid w:val="008216E9"/>
    <w:rsid w:val="008221F8"/>
    <w:rsid w:val="0082334C"/>
    <w:rsid w:val="00823E8F"/>
    <w:rsid w:val="00824796"/>
    <w:rsid w:val="00827A04"/>
    <w:rsid w:val="00827C98"/>
    <w:rsid w:val="00830FE2"/>
    <w:rsid w:val="00832A4C"/>
    <w:rsid w:val="00834967"/>
    <w:rsid w:val="00836A97"/>
    <w:rsid w:val="00836CA3"/>
    <w:rsid w:val="00836CC3"/>
    <w:rsid w:val="008411B5"/>
    <w:rsid w:val="00841BD7"/>
    <w:rsid w:val="00843645"/>
    <w:rsid w:val="00843890"/>
    <w:rsid w:val="00846FA3"/>
    <w:rsid w:val="00850877"/>
    <w:rsid w:val="00850931"/>
    <w:rsid w:val="00851204"/>
    <w:rsid w:val="00851393"/>
    <w:rsid w:val="00851BB1"/>
    <w:rsid w:val="00851EE9"/>
    <w:rsid w:val="0085368D"/>
    <w:rsid w:val="00853BC2"/>
    <w:rsid w:val="008564F7"/>
    <w:rsid w:val="00857DA8"/>
    <w:rsid w:val="00862A9B"/>
    <w:rsid w:val="008634C7"/>
    <w:rsid w:val="00864987"/>
    <w:rsid w:val="00867A0F"/>
    <w:rsid w:val="00873628"/>
    <w:rsid w:val="0087390D"/>
    <w:rsid w:val="00873C4F"/>
    <w:rsid w:val="008741B6"/>
    <w:rsid w:val="00880036"/>
    <w:rsid w:val="008807CB"/>
    <w:rsid w:val="00880C68"/>
    <w:rsid w:val="00884539"/>
    <w:rsid w:val="00885FB0"/>
    <w:rsid w:val="0089170F"/>
    <w:rsid w:val="00891C67"/>
    <w:rsid w:val="00892697"/>
    <w:rsid w:val="008930BE"/>
    <w:rsid w:val="00893CE6"/>
    <w:rsid w:val="0089432A"/>
    <w:rsid w:val="0089733D"/>
    <w:rsid w:val="008974C8"/>
    <w:rsid w:val="008A07A0"/>
    <w:rsid w:val="008A25A2"/>
    <w:rsid w:val="008A30A3"/>
    <w:rsid w:val="008A354D"/>
    <w:rsid w:val="008A531B"/>
    <w:rsid w:val="008A580D"/>
    <w:rsid w:val="008B3263"/>
    <w:rsid w:val="008B418C"/>
    <w:rsid w:val="008B4CC4"/>
    <w:rsid w:val="008B6751"/>
    <w:rsid w:val="008B686F"/>
    <w:rsid w:val="008B69CD"/>
    <w:rsid w:val="008B714E"/>
    <w:rsid w:val="008C0111"/>
    <w:rsid w:val="008C0A6A"/>
    <w:rsid w:val="008C245B"/>
    <w:rsid w:val="008C4D9D"/>
    <w:rsid w:val="008C5E14"/>
    <w:rsid w:val="008D017E"/>
    <w:rsid w:val="008D02B9"/>
    <w:rsid w:val="008D10F3"/>
    <w:rsid w:val="008D4A30"/>
    <w:rsid w:val="008D4D6E"/>
    <w:rsid w:val="008D7D39"/>
    <w:rsid w:val="008E0FDF"/>
    <w:rsid w:val="008E1D30"/>
    <w:rsid w:val="008E29C9"/>
    <w:rsid w:val="008E4095"/>
    <w:rsid w:val="008E4626"/>
    <w:rsid w:val="008E51BD"/>
    <w:rsid w:val="008E6EEB"/>
    <w:rsid w:val="008E7AEF"/>
    <w:rsid w:val="008F4530"/>
    <w:rsid w:val="008F71EB"/>
    <w:rsid w:val="008F760F"/>
    <w:rsid w:val="00900FE0"/>
    <w:rsid w:val="009106B5"/>
    <w:rsid w:val="00910920"/>
    <w:rsid w:val="0091134E"/>
    <w:rsid w:val="0091194B"/>
    <w:rsid w:val="00911A78"/>
    <w:rsid w:val="009127CE"/>
    <w:rsid w:val="009143C7"/>
    <w:rsid w:val="00915DBE"/>
    <w:rsid w:val="009170D3"/>
    <w:rsid w:val="0092101A"/>
    <w:rsid w:val="00932295"/>
    <w:rsid w:val="0093338F"/>
    <w:rsid w:val="009350A3"/>
    <w:rsid w:val="00935936"/>
    <w:rsid w:val="00936868"/>
    <w:rsid w:val="00936923"/>
    <w:rsid w:val="0094011C"/>
    <w:rsid w:val="009509D1"/>
    <w:rsid w:val="0095163B"/>
    <w:rsid w:val="00951CB0"/>
    <w:rsid w:val="00955DB1"/>
    <w:rsid w:val="009578FE"/>
    <w:rsid w:val="00960DFE"/>
    <w:rsid w:val="009617A5"/>
    <w:rsid w:val="00963339"/>
    <w:rsid w:val="00963967"/>
    <w:rsid w:val="00963A81"/>
    <w:rsid w:val="00964232"/>
    <w:rsid w:val="00965020"/>
    <w:rsid w:val="00965647"/>
    <w:rsid w:val="00966174"/>
    <w:rsid w:val="00967C7C"/>
    <w:rsid w:val="00970BE1"/>
    <w:rsid w:val="009714EB"/>
    <w:rsid w:val="0097278D"/>
    <w:rsid w:val="0097372A"/>
    <w:rsid w:val="009746B0"/>
    <w:rsid w:val="00975268"/>
    <w:rsid w:val="00975E21"/>
    <w:rsid w:val="009814DB"/>
    <w:rsid w:val="009816EE"/>
    <w:rsid w:val="009818AC"/>
    <w:rsid w:val="00983346"/>
    <w:rsid w:val="0098440B"/>
    <w:rsid w:val="00985A32"/>
    <w:rsid w:val="009860AD"/>
    <w:rsid w:val="009860D1"/>
    <w:rsid w:val="009867D8"/>
    <w:rsid w:val="00987530"/>
    <w:rsid w:val="00990306"/>
    <w:rsid w:val="00994CFA"/>
    <w:rsid w:val="0099578E"/>
    <w:rsid w:val="009A24C9"/>
    <w:rsid w:val="009A559B"/>
    <w:rsid w:val="009A6AE9"/>
    <w:rsid w:val="009B0005"/>
    <w:rsid w:val="009B172B"/>
    <w:rsid w:val="009B18D3"/>
    <w:rsid w:val="009B25E6"/>
    <w:rsid w:val="009B46F4"/>
    <w:rsid w:val="009B4E15"/>
    <w:rsid w:val="009B56B9"/>
    <w:rsid w:val="009B5D83"/>
    <w:rsid w:val="009B5E00"/>
    <w:rsid w:val="009B7F8C"/>
    <w:rsid w:val="009C2FA5"/>
    <w:rsid w:val="009C3F27"/>
    <w:rsid w:val="009C51DC"/>
    <w:rsid w:val="009C76FC"/>
    <w:rsid w:val="009D0C4E"/>
    <w:rsid w:val="009D1F63"/>
    <w:rsid w:val="009D2B96"/>
    <w:rsid w:val="009D4FEB"/>
    <w:rsid w:val="009D5ECF"/>
    <w:rsid w:val="009E0EA6"/>
    <w:rsid w:val="009E2351"/>
    <w:rsid w:val="009E5EDF"/>
    <w:rsid w:val="009F01A2"/>
    <w:rsid w:val="009F0807"/>
    <w:rsid w:val="009F3F34"/>
    <w:rsid w:val="00A06E94"/>
    <w:rsid w:val="00A104B3"/>
    <w:rsid w:val="00A12C40"/>
    <w:rsid w:val="00A1360B"/>
    <w:rsid w:val="00A1406D"/>
    <w:rsid w:val="00A15E7B"/>
    <w:rsid w:val="00A15E98"/>
    <w:rsid w:val="00A20536"/>
    <w:rsid w:val="00A21A81"/>
    <w:rsid w:val="00A2293E"/>
    <w:rsid w:val="00A24512"/>
    <w:rsid w:val="00A2702A"/>
    <w:rsid w:val="00A2780B"/>
    <w:rsid w:val="00A312CB"/>
    <w:rsid w:val="00A32940"/>
    <w:rsid w:val="00A334CE"/>
    <w:rsid w:val="00A33D13"/>
    <w:rsid w:val="00A34069"/>
    <w:rsid w:val="00A346DE"/>
    <w:rsid w:val="00A36040"/>
    <w:rsid w:val="00A36E70"/>
    <w:rsid w:val="00A37438"/>
    <w:rsid w:val="00A40DCD"/>
    <w:rsid w:val="00A4183D"/>
    <w:rsid w:val="00A42DB5"/>
    <w:rsid w:val="00A435EF"/>
    <w:rsid w:val="00A43629"/>
    <w:rsid w:val="00A45380"/>
    <w:rsid w:val="00A52952"/>
    <w:rsid w:val="00A540BD"/>
    <w:rsid w:val="00A54EAC"/>
    <w:rsid w:val="00A54EC4"/>
    <w:rsid w:val="00A57785"/>
    <w:rsid w:val="00A631C8"/>
    <w:rsid w:val="00A64943"/>
    <w:rsid w:val="00A64BD0"/>
    <w:rsid w:val="00A6506F"/>
    <w:rsid w:val="00A6663E"/>
    <w:rsid w:val="00A72AFF"/>
    <w:rsid w:val="00A77040"/>
    <w:rsid w:val="00A77DF7"/>
    <w:rsid w:val="00A77EB9"/>
    <w:rsid w:val="00A82137"/>
    <w:rsid w:val="00A83D03"/>
    <w:rsid w:val="00A84F23"/>
    <w:rsid w:val="00A8500C"/>
    <w:rsid w:val="00A86B6C"/>
    <w:rsid w:val="00A91B73"/>
    <w:rsid w:val="00A93F3B"/>
    <w:rsid w:val="00A9477A"/>
    <w:rsid w:val="00A955EA"/>
    <w:rsid w:val="00A9710A"/>
    <w:rsid w:val="00A97BDC"/>
    <w:rsid w:val="00A97EC0"/>
    <w:rsid w:val="00AA0A38"/>
    <w:rsid w:val="00AA1AD2"/>
    <w:rsid w:val="00AA1CC6"/>
    <w:rsid w:val="00AA57A4"/>
    <w:rsid w:val="00AA6BFC"/>
    <w:rsid w:val="00AA7301"/>
    <w:rsid w:val="00AA7769"/>
    <w:rsid w:val="00AA7783"/>
    <w:rsid w:val="00AA7D26"/>
    <w:rsid w:val="00AB1693"/>
    <w:rsid w:val="00AB1EC8"/>
    <w:rsid w:val="00AB3B58"/>
    <w:rsid w:val="00AB572F"/>
    <w:rsid w:val="00AB6158"/>
    <w:rsid w:val="00AC113D"/>
    <w:rsid w:val="00AC15F4"/>
    <w:rsid w:val="00AC3253"/>
    <w:rsid w:val="00AC33FB"/>
    <w:rsid w:val="00AC4450"/>
    <w:rsid w:val="00AC51EC"/>
    <w:rsid w:val="00AD33D9"/>
    <w:rsid w:val="00AD3685"/>
    <w:rsid w:val="00AD38AF"/>
    <w:rsid w:val="00AD5163"/>
    <w:rsid w:val="00AD556C"/>
    <w:rsid w:val="00AD558F"/>
    <w:rsid w:val="00AD753E"/>
    <w:rsid w:val="00AE0042"/>
    <w:rsid w:val="00AE02E9"/>
    <w:rsid w:val="00AE1FC5"/>
    <w:rsid w:val="00AE3EBB"/>
    <w:rsid w:val="00AE516B"/>
    <w:rsid w:val="00AE552F"/>
    <w:rsid w:val="00AE68E1"/>
    <w:rsid w:val="00AF421D"/>
    <w:rsid w:val="00AF5ABF"/>
    <w:rsid w:val="00AF5B76"/>
    <w:rsid w:val="00AF6604"/>
    <w:rsid w:val="00AF6DBA"/>
    <w:rsid w:val="00AF75E7"/>
    <w:rsid w:val="00AF7FB4"/>
    <w:rsid w:val="00B00837"/>
    <w:rsid w:val="00B03C7B"/>
    <w:rsid w:val="00B040DB"/>
    <w:rsid w:val="00B06935"/>
    <w:rsid w:val="00B1097E"/>
    <w:rsid w:val="00B10D36"/>
    <w:rsid w:val="00B10E51"/>
    <w:rsid w:val="00B116BA"/>
    <w:rsid w:val="00B119EE"/>
    <w:rsid w:val="00B1255D"/>
    <w:rsid w:val="00B130FD"/>
    <w:rsid w:val="00B13E61"/>
    <w:rsid w:val="00B14355"/>
    <w:rsid w:val="00B15FCE"/>
    <w:rsid w:val="00B163D0"/>
    <w:rsid w:val="00B16F14"/>
    <w:rsid w:val="00B20930"/>
    <w:rsid w:val="00B20B75"/>
    <w:rsid w:val="00B21DBA"/>
    <w:rsid w:val="00B229CE"/>
    <w:rsid w:val="00B23B53"/>
    <w:rsid w:val="00B2752B"/>
    <w:rsid w:val="00B3013C"/>
    <w:rsid w:val="00B32373"/>
    <w:rsid w:val="00B33ACA"/>
    <w:rsid w:val="00B3719C"/>
    <w:rsid w:val="00B37225"/>
    <w:rsid w:val="00B3734C"/>
    <w:rsid w:val="00B37B0C"/>
    <w:rsid w:val="00B400ED"/>
    <w:rsid w:val="00B46CA7"/>
    <w:rsid w:val="00B47A27"/>
    <w:rsid w:val="00B51E37"/>
    <w:rsid w:val="00B533D5"/>
    <w:rsid w:val="00B53B62"/>
    <w:rsid w:val="00B54289"/>
    <w:rsid w:val="00B54C87"/>
    <w:rsid w:val="00B551ED"/>
    <w:rsid w:val="00B55CFF"/>
    <w:rsid w:val="00B56EED"/>
    <w:rsid w:val="00B6012B"/>
    <w:rsid w:val="00B612C4"/>
    <w:rsid w:val="00B617C6"/>
    <w:rsid w:val="00B62967"/>
    <w:rsid w:val="00B62A9D"/>
    <w:rsid w:val="00B64C4D"/>
    <w:rsid w:val="00B64D45"/>
    <w:rsid w:val="00B678CC"/>
    <w:rsid w:val="00B73470"/>
    <w:rsid w:val="00B73BF7"/>
    <w:rsid w:val="00B744CC"/>
    <w:rsid w:val="00B75507"/>
    <w:rsid w:val="00B75925"/>
    <w:rsid w:val="00B75BF7"/>
    <w:rsid w:val="00B81530"/>
    <w:rsid w:val="00B817F5"/>
    <w:rsid w:val="00B824C0"/>
    <w:rsid w:val="00B832B5"/>
    <w:rsid w:val="00B83857"/>
    <w:rsid w:val="00B83A54"/>
    <w:rsid w:val="00B84278"/>
    <w:rsid w:val="00B873D4"/>
    <w:rsid w:val="00B903FD"/>
    <w:rsid w:val="00B90780"/>
    <w:rsid w:val="00B907B8"/>
    <w:rsid w:val="00B90F43"/>
    <w:rsid w:val="00B93265"/>
    <w:rsid w:val="00B949CF"/>
    <w:rsid w:val="00B9506C"/>
    <w:rsid w:val="00B96878"/>
    <w:rsid w:val="00BA07FF"/>
    <w:rsid w:val="00BA0A3F"/>
    <w:rsid w:val="00BA11BE"/>
    <w:rsid w:val="00BA293B"/>
    <w:rsid w:val="00BA2985"/>
    <w:rsid w:val="00BA3C21"/>
    <w:rsid w:val="00BA43C3"/>
    <w:rsid w:val="00BA4FCA"/>
    <w:rsid w:val="00BA6A9E"/>
    <w:rsid w:val="00BA7478"/>
    <w:rsid w:val="00BB22D9"/>
    <w:rsid w:val="00BB3038"/>
    <w:rsid w:val="00BB4C34"/>
    <w:rsid w:val="00BB5937"/>
    <w:rsid w:val="00BB7021"/>
    <w:rsid w:val="00BC136D"/>
    <w:rsid w:val="00BC1851"/>
    <w:rsid w:val="00BC2DBA"/>
    <w:rsid w:val="00BC363E"/>
    <w:rsid w:val="00BC5E02"/>
    <w:rsid w:val="00BD47E5"/>
    <w:rsid w:val="00BD527A"/>
    <w:rsid w:val="00BD601D"/>
    <w:rsid w:val="00BD6D62"/>
    <w:rsid w:val="00BE0DEE"/>
    <w:rsid w:val="00BE0E6A"/>
    <w:rsid w:val="00BE0F4D"/>
    <w:rsid w:val="00BE1475"/>
    <w:rsid w:val="00BE2F9E"/>
    <w:rsid w:val="00BE37C4"/>
    <w:rsid w:val="00BE4754"/>
    <w:rsid w:val="00BE5C91"/>
    <w:rsid w:val="00BE72F8"/>
    <w:rsid w:val="00BF2382"/>
    <w:rsid w:val="00BF4452"/>
    <w:rsid w:val="00BF53D6"/>
    <w:rsid w:val="00BF5B98"/>
    <w:rsid w:val="00BF71D3"/>
    <w:rsid w:val="00BF7373"/>
    <w:rsid w:val="00C0006F"/>
    <w:rsid w:val="00C00F19"/>
    <w:rsid w:val="00C027E1"/>
    <w:rsid w:val="00C041B1"/>
    <w:rsid w:val="00C072D5"/>
    <w:rsid w:val="00C0777F"/>
    <w:rsid w:val="00C11980"/>
    <w:rsid w:val="00C11E98"/>
    <w:rsid w:val="00C127D9"/>
    <w:rsid w:val="00C20691"/>
    <w:rsid w:val="00C2172C"/>
    <w:rsid w:val="00C2353A"/>
    <w:rsid w:val="00C25AEF"/>
    <w:rsid w:val="00C30A6A"/>
    <w:rsid w:val="00C33F93"/>
    <w:rsid w:val="00C346E5"/>
    <w:rsid w:val="00C353C9"/>
    <w:rsid w:val="00C3580A"/>
    <w:rsid w:val="00C370DC"/>
    <w:rsid w:val="00C41B3A"/>
    <w:rsid w:val="00C45EBF"/>
    <w:rsid w:val="00C46F20"/>
    <w:rsid w:val="00C47D61"/>
    <w:rsid w:val="00C50ACB"/>
    <w:rsid w:val="00C5355D"/>
    <w:rsid w:val="00C53B2C"/>
    <w:rsid w:val="00C54D6A"/>
    <w:rsid w:val="00C56BC6"/>
    <w:rsid w:val="00C6066D"/>
    <w:rsid w:val="00C61F61"/>
    <w:rsid w:val="00C64327"/>
    <w:rsid w:val="00C6488C"/>
    <w:rsid w:val="00C65C63"/>
    <w:rsid w:val="00C67D56"/>
    <w:rsid w:val="00C741EC"/>
    <w:rsid w:val="00C7522B"/>
    <w:rsid w:val="00C76ABD"/>
    <w:rsid w:val="00C817A4"/>
    <w:rsid w:val="00C83090"/>
    <w:rsid w:val="00C864A7"/>
    <w:rsid w:val="00C9091A"/>
    <w:rsid w:val="00C96F96"/>
    <w:rsid w:val="00C97CDA"/>
    <w:rsid w:val="00CA0CB4"/>
    <w:rsid w:val="00CA20DF"/>
    <w:rsid w:val="00CA275D"/>
    <w:rsid w:val="00CA6230"/>
    <w:rsid w:val="00CB49C3"/>
    <w:rsid w:val="00CB5671"/>
    <w:rsid w:val="00CB6CC2"/>
    <w:rsid w:val="00CB74B3"/>
    <w:rsid w:val="00CC19A2"/>
    <w:rsid w:val="00CC2611"/>
    <w:rsid w:val="00CC2BAE"/>
    <w:rsid w:val="00CC3C5C"/>
    <w:rsid w:val="00CC3CE3"/>
    <w:rsid w:val="00CC5986"/>
    <w:rsid w:val="00CD018C"/>
    <w:rsid w:val="00CD1236"/>
    <w:rsid w:val="00CD2438"/>
    <w:rsid w:val="00CD2648"/>
    <w:rsid w:val="00CD2D5F"/>
    <w:rsid w:val="00CD3194"/>
    <w:rsid w:val="00CE00A7"/>
    <w:rsid w:val="00CE6A98"/>
    <w:rsid w:val="00CE6ED7"/>
    <w:rsid w:val="00CE7104"/>
    <w:rsid w:val="00CE7385"/>
    <w:rsid w:val="00CE7F6B"/>
    <w:rsid w:val="00CF26D9"/>
    <w:rsid w:val="00CF2F73"/>
    <w:rsid w:val="00CF450D"/>
    <w:rsid w:val="00CF639E"/>
    <w:rsid w:val="00CF6BE4"/>
    <w:rsid w:val="00CF74F9"/>
    <w:rsid w:val="00CF7717"/>
    <w:rsid w:val="00D00BEC"/>
    <w:rsid w:val="00D01ED2"/>
    <w:rsid w:val="00D044BB"/>
    <w:rsid w:val="00D05F5B"/>
    <w:rsid w:val="00D07F95"/>
    <w:rsid w:val="00D1006E"/>
    <w:rsid w:val="00D13322"/>
    <w:rsid w:val="00D136FB"/>
    <w:rsid w:val="00D138E3"/>
    <w:rsid w:val="00D13D69"/>
    <w:rsid w:val="00D16107"/>
    <w:rsid w:val="00D17956"/>
    <w:rsid w:val="00D213BE"/>
    <w:rsid w:val="00D213D3"/>
    <w:rsid w:val="00D22D50"/>
    <w:rsid w:val="00D239B3"/>
    <w:rsid w:val="00D2416D"/>
    <w:rsid w:val="00D24B53"/>
    <w:rsid w:val="00D255A4"/>
    <w:rsid w:val="00D26B63"/>
    <w:rsid w:val="00D30891"/>
    <w:rsid w:val="00D32E76"/>
    <w:rsid w:val="00D33FFA"/>
    <w:rsid w:val="00D340A4"/>
    <w:rsid w:val="00D34F08"/>
    <w:rsid w:val="00D37A4F"/>
    <w:rsid w:val="00D37BFB"/>
    <w:rsid w:val="00D45066"/>
    <w:rsid w:val="00D45B34"/>
    <w:rsid w:val="00D461AA"/>
    <w:rsid w:val="00D50130"/>
    <w:rsid w:val="00D53319"/>
    <w:rsid w:val="00D53CAE"/>
    <w:rsid w:val="00D54D3D"/>
    <w:rsid w:val="00D5693F"/>
    <w:rsid w:val="00D569BB"/>
    <w:rsid w:val="00D623B2"/>
    <w:rsid w:val="00D64D56"/>
    <w:rsid w:val="00D664D8"/>
    <w:rsid w:val="00D674FA"/>
    <w:rsid w:val="00D6767F"/>
    <w:rsid w:val="00D67814"/>
    <w:rsid w:val="00D729CD"/>
    <w:rsid w:val="00D75197"/>
    <w:rsid w:val="00D75F80"/>
    <w:rsid w:val="00D76236"/>
    <w:rsid w:val="00D82163"/>
    <w:rsid w:val="00D82D9C"/>
    <w:rsid w:val="00D82DDC"/>
    <w:rsid w:val="00D83C2A"/>
    <w:rsid w:val="00D84F1D"/>
    <w:rsid w:val="00D86901"/>
    <w:rsid w:val="00D90174"/>
    <w:rsid w:val="00D904E0"/>
    <w:rsid w:val="00D91F05"/>
    <w:rsid w:val="00D959B5"/>
    <w:rsid w:val="00D96426"/>
    <w:rsid w:val="00D971C1"/>
    <w:rsid w:val="00D973BD"/>
    <w:rsid w:val="00DA41DA"/>
    <w:rsid w:val="00DA5C01"/>
    <w:rsid w:val="00DA5C2E"/>
    <w:rsid w:val="00DA7B67"/>
    <w:rsid w:val="00DB055E"/>
    <w:rsid w:val="00DB1FA7"/>
    <w:rsid w:val="00DB24F0"/>
    <w:rsid w:val="00DB3052"/>
    <w:rsid w:val="00DB3C0B"/>
    <w:rsid w:val="00DB4792"/>
    <w:rsid w:val="00DB4E4E"/>
    <w:rsid w:val="00DB5AFE"/>
    <w:rsid w:val="00DB69DC"/>
    <w:rsid w:val="00DB7D56"/>
    <w:rsid w:val="00DC1288"/>
    <w:rsid w:val="00DC4EA8"/>
    <w:rsid w:val="00DC7788"/>
    <w:rsid w:val="00DC7A14"/>
    <w:rsid w:val="00DD11C5"/>
    <w:rsid w:val="00DD1AB7"/>
    <w:rsid w:val="00DD20BB"/>
    <w:rsid w:val="00DD2861"/>
    <w:rsid w:val="00DD2C6F"/>
    <w:rsid w:val="00DD5045"/>
    <w:rsid w:val="00DD5591"/>
    <w:rsid w:val="00DD5948"/>
    <w:rsid w:val="00DD67DD"/>
    <w:rsid w:val="00DE017D"/>
    <w:rsid w:val="00DE2509"/>
    <w:rsid w:val="00DE369A"/>
    <w:rsid w:val="00DE4720"/>
    <w:rsid w:val="00DE537B"/>
    <w:rsid w:val="00DE76E2"/>
    <w:rsid w:val="00DF1C69"/>
    <w:rsid w:val="00DF36F2"/>
    <w:rsid w:val="00DF408E"/>
    <w:rsid w:val="00DF603F"/>
    <w:rsid w:val="00DF683E"/>
    <w:rsid w:val="00DF6AE6"/>
    <w:rsid w:val="00DF6D04"/>
    <w:rsid w:val="00DF7C24"/>
    <w:rsid w:val="00E00FE8"/>
    <w:rsid w:val="00E022EA"/>
    <w:rsid w:val="00E0259A"/>
    <w:rsid w:val="00E032E8"/>
    <w:rsid w:val="00E038A8"/>
    <w:rsid w:val="00E04A04"/>
    <w:rsid w:val="00E05CB2"/>
    <w:rsid w:val="00E07893"/>
    <w:rsid w:val="00E10002"/>
    <w:rsid w:val="00E10F99"/>
    <w:rsid w:val="00E1638C"/>
    <w:rsid w:val="00E16B27"/>
    <w:rsid w:val="00E24E08"/>
    <w:rsid w:val="00E313F2"/>
    <w:rsid w:val="00E31843"/>
    <w:rsid w:val="00E31892"/>
    <w:rsid w:val="00E329D2"/>
    <w:rsid w:val="00E32AED"/>
    <w:rsid w:val="00E35AB1"/>
    <w:rsid w:val="00E37CF3"/>
    <w:rsid w:val="00E427EC"/>
    <w:rsid w:val="00E443A9"/>
    <w:rsid w:val="00E4457E"/>
    <w:rsid w:val="00E445A8"/>
    <w:rsid w:val="00E44BA5"/>
    <w:rsid w:val="00E4609C"/>
    <w:rsid w:val="00E47047"/>
    <w:rsid w:val="00E47203"/>
    <w:rsid w:val="00E525F0"/>
    <w:rsid w:val="00E54333"/>
    <w:rsid w:val="00E57447"/>
    <w:rsid w:val="00E61BDA"/>
    <w:rsid w:val="00E61F5A"/>
    <w:rsid w:val="00E63C76"/>
    <w:rsid w:val="00E64BFD"/>
    <w:rsid w:val="00E6540B"/>
    <w:rsid w:val="00E65B91"/>
    <w:rsid w:val="00E669BA"/>
    <w:rsid w:val="00E67AB4"/>
    <w:rsid w:val="00E67CCC"/>
    <w:rsid w:val="00E7062F"/>
    <w:rsid w:val="00E712C7"/>
    <w:rsid w:val="00E734D9"/>
    <w:rsid w:val="00E73AD7"/>
    <w:rsid w:val="00E74E65"/>
    <w:rsid w:val="00E75AF9"/>
    <w:rsid w:val="00E81FCC"/>
    <w:rsid w:val="00E83A7D"/>
    <w:rsid w:val="00E84493"/>
    <w:rsid w:val="00E85516"/>
    <w:rsid w:val="00E8603A"/>
    <w:rsid w:val="00E87463"/>
    <w:rsid w:val="00E93355"/>
    <w:rsid w:val="00E97077"/>
    <w:rsid w:val="00E97E08"/>
    <w:rsid w:val="00EA094C"/>
    <w:rsid w:val="00EA1BB7"/>
    <w:rsid w:val="00EA2D4F"/>
    <w:rsid w:val="00EA3329"/>
    <w:rsid w:val="00EA42BB"/>
    <w:rsid w:val="00EA7889"/>
    <w:rsid w:val="00EB2623"/>
    <w:rsid w:val="00EB2D69"/>
    <w:rsid w:val="00EB599B"/>
    <w:rsid w:val="00EB6E99"/>
    <w:rsid w:val="00EB6F93"/>
    <w:rsid w:val="00EC3E88"/>
    <w:rsid w:val="00EC43D9"/>
    <w:rsid w:val="00EC4ACB"/>
    <w:rsid w:val="00EC560A"/>
    <w:rsid w:val="00ED04CE"/>
    <w:rsid w:val="00ED0A21"/>
    <w:rsid w:val="00ED2825"/>
    <w:rsid w:val="00ED378A"/>
    <w:rsid w:val="00ED4634"/>
    <w:rsid w:val="00ED6535"/>
    <w:rsid w:val="00ED6657"/>
    <w:rsid w:val="00EE0561"/>
    <w:rsid w:val="00EE15FE"/>
    <w:rsid w:val="00EE1DA0"/>
    <w:rsid w:val="00EE4093"/>
    <w:rsid w:val="00EE66FE"/>
    <w:rsid w:val="00EE6D1C"/>
    <w:rsid w:val="00EE7645"/>
    <w:rsid w:val="00EE7935"/>
    <w:rsid w:val="00EF4449"/>
    <w:rsid w:val="00EF7B34"/>
    <w:rsid w:val="00F0123C"/>
    <w:rsid w:val="00F032AA"/>
    <w:rsid w:val="00F04892"/>
    <w:rsid w:val="00F05424"/>
    <w:rsid w:val="00F057D9"/>
    <w:rsid w:val="00F05D9D"/>
    <w:rsid w:val="00F07E76"/>
    <w:rsid w:val="00F1600A"/>
    <w:rsid w:val="00F1728C"/>
    <w:rsid w:val="00F239D0"/>
    <w:rsid w:val="00F302B8"/>
    <w:rsid w:val="00F30C30"/>
    <w:rsid w:val="00F31124"/>
    <w:rsid w:val="00F31797"/>
    <w:rsid w:val="00F33D0C"/>
    <w:rsid w:val="00F36F7A"/>
    <w:rsid w:val="00F4056E"/>
    <w:rsid w:val="00F410E5"/>
    <w:rsid w:val="00F41329"/>
    <w:rsid w:val="00F4354B"/>
    <w:rsid w:val="00F4423B"/>
    <w:rsid w:val="00F44462"/>
    <w:rsid w:val="00F45D02"/>
    <w:rsid w:val="00F47030"/>
    <w:rsid w:val="00F47EAC"/>
    <w:rsid w:val="00F50FAA"/>
    <w:rsid w:val="00F54514"/>
    <w:rsid w:val="00F56DC5"/>
    <w:rsid w:val="00F574D6"/>
    <w:rsid w:val="00F57BFF"/>
    <w:rsid w:val="00F60C24"/>
    <w:rsid w:val="00F66441"/>
    <w:rsid w:val="00F70151"/>
    <w:rsid w:val="00F70192"/>
    <w:rsid w:val="00F7063A"/>
    <w:rsid w:val="00F71F02"/>
    <w:rsid w:val="00F74740"/>
    <w:rsid w:val="00F74C62"/>
    <w:rsid w:val="00F76E77"/>
    <w:rsid w:val="00F81F5E"/>
    <w:rsid w:val="00F82A3C"/>
    <w:rsid w:val="00F842C9"/>
    <w:rsid w:val="00F87642"/>
    <w:rsid w:val="00F90FD4"/>
    <w:rsid w:val="00F912C7"/>
    <w:rsid w:val="00F9461D"/>
    <w:rsid w:val="00F954CA"/>
    <w:rsid w:val="00F958A1"/>
    <w:rsid w:val="00F96191"/>
    <w:rsid w:val="00F967B1"/>
    <w:rsid w:val="00FA208E"/>
    <w:rsid w:val="00FA24C5"/>
    <w:rsid w:val="00FA5830"/>
    <w:rsid w:val="00FA61AE"/>
    <w:rsid w:val="00FA6E08"/>
    <w:rsid w:val="00FA7FE6"/>
    <w:rsid w:val="00FB0AD2"/>
    <w:rsid w:val="00FB2647"/>
    <w:rsid w:val="00FB29A5"/>
    <w:rsid w:val="00FB5555"/>
    <w:rsid w:val="00FC1285"/>
    <w:rsid w:val="00FC149E"/>
    <w:rsid w:val="00FC1662"/>
    <w:rsid w:val="00FC3EF8"/>
    <w:rsid w:val="00FC7366"/>
    <w:rsid w:val="00FC7E81"/>
    <w:rsid w:val="00FD21AE"/>
    <w:rsid w:val="00FD44B4"/>
    <w:rsid w:val="00FD45BB"/>
    <w:rsid w:val="00FE0BAB"/>
    <w:rsid w:val="00FE3C9D"/>
    <w:rsid w:val="00FE4AB1"/>
    <w:rsid w:val="00FE4E24"/>
    <w:rsid w:val="00FE5289"/>
    <w:rsid w:val="00FE5521"/>
    <w:rsid w:val="00FE5592"/>
    <w:rsid w:val="00FF1EE5"/>
    <w:rsid w:val="00FF2B4F"/>
    <w:rsid w:val="00FF3D47"/>
    <w:rsid w:val="00FF55FF"/>
    <w:rsid w:val="00FF5F60"/>
    <w:rsid w:val="00FF6CC6"/>
    <w:rsid w:val="00FF6FA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DDA262"/>
  <w15:chartTrackingRefBased/>
  <w15:docId w15:val="{CA19334C-A1E2-4AE5-B5AC-CB3A29D29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0ED"/>
    <w:pPr>
      <w:spacing w:after="120"/>
    </w:pPr>
    <w:rPr>
      <w:rFonts w:ascii="Cambria" w:hAnsi="Cambria" w:cstheme="minorHAnsi"/>
      <w:sz w:val="24"/>
      <w:szCs w:val="24"/>
    </w:rPr>
  </w:style>
  <w:style w:type="paragraph" w:styleId="Heading1">
    <w:name w:val="heading 1"/>
    <w:basedOn w:val="Normal"/>
    <w:next w:val="Normal"/>
    <w:link w:val="Heading1Char"/>
    <w:uiPriority w:val="9"/>
    <w:rsid w:val="009B25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F66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21A81"/>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6A685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B2DAE"/>
    <w:pPr>
      <w:keepNext/>
      <w:numPr>
        <w:numId w:val="1"/>
      </w:numPr>
      <w:spacing w:before="240" w:line="276" w:lineRule="auto"/>
      <w:contextualSpacing/>
    </w:pPr>
    <w:rPr>
      <w:rFonts w:ascii="Calibri" w:hAnsi="Calibri"/>
      <w:b/>
      <w:lang w:eastAsia="en-US"/>
    </w:rPr>
  </w:style>
  <w:style w:type="paragraph" w:styleId="Header">
    <w:name w:val="header"/>
    <w:basedOn w:val="Normal"/>
    <w:link w:val="HeaderChar"/>
    <w:uiPriority w:val="99"/>
    <w:rsid w:val="006E2F4E"/>
    <w:pPr>
      <w:tabs>
        <w:tab w:val="center" w:pos="4153"/>
        <w:tab w:val="right" w:pos="8306"/>
      </w:tabs>
    </w:pPr>
  </w:style>
  <w:style w:type="paragraph" w:styleId="Footer">
    <w:name w:val="footer"/>
    <w:basedOn w:val="Normal"/>
    <w:link w:val="FooterChar"/>
    <w:uiPriority w:val="99"/>
    <w:rsid w:val="006E2F4E"/>
    <w:pPr>
      <w:tabs>
        <w:tab w:val="center" w:pos="4153"/>
        <w:tab w:val="right" w:pos="8306"/>
      </w:tabs>
    </w:pPr>
  </w:style>
  <w:style w:type="table" w:styleId="TableGrid">
    <w:name w:val="Table Grid"/>
    <w:basedOn w:val="TableNormal"/>
    <w:uiPriority w:val="59"/>
    <w:rsid w:val="00DC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A6446"/>
    <w:rPr>
      <w:rFonts w:ascii="Segoe UI" w:hAnsi="Segoe UI" w:cs="Segoe UI"/>
      <w:sz w:val="18"/>
      <w:szCs w:val="18"/>
    </w:rPr>
  </w:style>
  <w:style w:type="character" w:customStyle="1" w:styleId="BalloonTextChar">
    <w:name w:val="Balloon Text Char"/>
    <w:link w:val="BalloonText"/>
    <w:uiPriority w:val="99"/>
    <w:semiHidden/>
    <w:rsid w:val="002A6446"/>
    <w:rPr>
      <w:rFonts w:ascii="Segoe UI" w:hAnsi="Segoe UI" w:cs="Segoe UI"/>
      <w:sz w:val="18"/>
      <w:szCs w:val="18"/>
    </w:rPr>
  </w:style>
  <w:style w:type="paragraph" w:styleId="NoSpacing">
    <w:name w:val="No Spacing"/>
    <w:link w:val="NoSpacingChar"/>
    <w:uiPriority w:val="1"/>
    <w:qFormat/>
    <w:rsid w:val="00333349"/>
    <w:rPr>
      <w:rFonts w:ascii="Calibri" w:hAnsi="Calibri"/>
      <w:sz w:val="22"/>
      <w:szCs w:val="22"/>
      <w:lang w:val="en-US" w:eastAsia="en-US"/>
    </w:rPr>
  </w:style>
  <w:style w:type="character" w:customStyle="1" w:styleId="NoSpacingChar">
    <w:name w:val="No Spacing Char"/>
    <w:link w:val="NoSpacing"/>
    <w:uiPriority w:val="1"/>
    <w:rsid w:val="00333349"/>
    <w:rPr>
      <w:rFonts w:ascii="Calibri" w:hAnsi="Calibri"/>
      <w:sz w:val="22"/>
      <w:szCs w:val="22"/>
      <w:lang w:val="en-US" w:eastAsia="en-US"/>
    </w:rPr>
  </w:style>
  <w:style w:type="paragraph" w:styleId="Subtitle">
    <w:name w:val="Subtitle"/>
    <w:basedOn w:val="Normal"/>
    <w:next w:val="Normal"/>
    <w:link w:val="SubtitleChar"/>
    <w:uiPriority w:val="11"/>
    <w:qFormat/>
    <w:rsid w:val="00440DDF"/>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40DDF"/>
    <w:rPr>
      <w:rFonts w:asciiTheme="minorHAnsi" w:eastAsiaTheme="minorEastAsia" w:hAnsiTheme="minorHAnsi" w:cstheme="minorBidi"/>
      <w:color w:val="5A5A5A" w:themeColor="text1" w:themeTint="A5"/>
      <w:spacing w:val="15"/>
      <w:sz w:val="22"/>
      <w:szCs w:val="22"/>
    </w:rPr>
  </w:style>
  <w:style w:type="character" w:styleId="IntenseEmphasis">
    <w:name w:val="Intense Emphasis"/>
    <w:basedOn w:val="DefaultParagraphFont"/>
    <w:uiPriority w:val="21"/>
    <w:qFormat/>
    <w:rsid w:val="0049258E"/>
    <w:rPr>
      <w:i/>
      <w:iCs/>
      <w:color w:val="4472C4" w:themeColor="accent1"/>
    </w:rPr>
  </w:style>
  <w:style w:type="character" w:styleId="Hyperlink">
    <w:name w:val="Hyperlink"/>
    <w:basedOn w:val="DefaultParagraphFont"/>
    <w:uiPriority w:val="99"/>
    <w:unhideWhenUsed/>
    <w:rsid w:val="001810E3"/>
    <w:rPr>
      <w:color w:val="0563C1" w:themeColor="hyperlink"/>
      <w:u w:val="single"/>
    </w:rPr>
  </w:style>
  <w:style w:type="character" w:customStyle="1" w:styleId="UnresolvedMention1">
    <w:name w:val="Unresolved Mention1"/>
    <w:basedOn w:val="DefaultParagraphFont"/>
    <w:uiPriority w:val="99"/>
    <w:semiHidden/>
    <w:unhideWhenUsed/>
    <w:rsid w:val="001810E3"/>
    <w:rPr>
      <w:color w:val="605E5C"/>
      <w:shd w:val="clear" w:color="auto" w:fill="E1DFDD"/>
    </w:rPr>
  </w:style>
  <w:style w:type="character" w:styleId="BookTitle">
    <w:name w:val="Book Title"/>
    <w:basedOn w:val="DefaultParagraphFont"/>
    <w:uiPriority w:val="33"/>
    <w:qFormat/>
    <w:rsid w:val="001D3AC5"/>
    <w:rPr>
      <w:b/>
      <w:bCs/>
      <w:i/>
      <w:iCs/>
      <w:spacing w:val="5"/>
    </w:rPr>
  </w:style>
  <w:style w:type="character" w:styleId="Emphasis">
    <w:name w:val="Emphasis"/>
    <w:basedOn w:val="DefaultParagraphFont"/>
    <w:uiPriority w:val="20"/>
    <w:qFormat/>
    <w:rsid w:val="008013AD"/>
    <w:rPr>
      <w:i/>
      <w:iCs/>
    </w:rPr>
  </w:style>
  <w:style w:type="character" w:styleId="IntenseReference">
    <w:name w:val="Intense Reference"/>
    <w:basedOn w:val="DefaultParagraphFont"/>
    <w:uiPriority w:val="32"/>
    <w:qFormat/>
    <w:rsid w:val="003E328B"/>
    <w:rPr>
      <w:b/>
      <w:bCs/>
      <w:smallCaps/>
      <w:color w:val="4472C4" w:themeColor="accent1"/>
      <w:spacing w:val="5"/>
    </w:rPr>
  </w:style>
  <w:style w:type="character" w:customStyle="1" w:styleId="FooterChar">
    <w:name w:val="Footer Char"/>
    <w:basedOn w:val="DefaultParagraphFont"/>
    <w:link w:val="Footer"/>
    <w:uiPriority w:val="99"/>
    <w:rsid w:val="00EA094C"/>
    <w:rPr>
      <w:sz w:val="24"/>
      <w:szCs w:val="24"/>
    </w:rPr>
  </w:style>
  <w:style w:type="character" w:styleId="Strong">
    <w:name w:val="Strong"/>
    <w:uiPriority w:val="22"/>
    <w:qFormat/>
    <w:rsid w:val="003D7478"/>
    <w:rPr>
      <w:b/>
      <w:bCs/>
    </w:rPr>
  </w:style>
  <w:style w:type="character" w:customStyle="1" w:styleId="HeaderChar">
    <w:name w:val="Header Char"/>
    <w:basedOn w:val="DefaultParagraphFont"/>
    <w:link w:val="Header"/>
    <w:uiPriority w:val="99"/>
    <w:rsid w:val="00BE0F4D"/>
    <w:rPr>
      <w:sz w:val="24"/>
      <w:szCs w:val="24"/>
    </w:rPr>
  </w:style>
  <w:style w:type="character" w:customStyle="1" w:styleId="UnresolvedMention2">
    <w:name w:val="Unresolved Mention2"/>
    <w:basedOn w:val="DefaultParagraphFont"/>
    <w:uiPriority w:val="99"/>
    <w:semiHidden/>
    <w:unhideWhenUsed/>
    <w:rsid w:val="0004792A"/>
    <w:rPr>
      <w:color w:val="605E5C"/>
      <w:shd w:val="clear" w:color="auto" w:fill="E1DFDD"/>
    </w:rPr>
  </w:style>
  <w:style w:type="paragraph" w:customStyle="1" w:styleId="Bulleteditem">
    <w:name w:val="Bulleted item"/>
    <w:basedOn w:val="Normal"/>
    <w:link w:val="BulleteditemChar"/>
    <w:rsid w:val="006F1147"/>
    <w:pPr>
      <w:contextualSpacing/>
    </w:pPr>
  </w:style>
  <w:style w:type="paragraph" w:styleId="Title">
    <w:name w:val="Title"/>
    <w:basedOn w:val="Normal"/>
    <w:next w:val="Normal"/>
    <w:link w:val="TitleChar"/>
    <w:uiPriority w:val="10"/>
    <w:qFormat/>
    <w:rsid w:val="00181D1A"/>
    <w:pPr>
      <w:spacing w:after="0"/>
      <w:contextualSpacing/>
    </w:pPr>
    <w:rPr>
      <w:rFonts w:asciiTheme="majorHAnsi" w:eastAsiaTheme="majorEastAsia" w:hAnsiTheme="majorHAnsi" w:cstheme="majorBidi"/>
      <w:spacing w:val="-10"/>
      <w:kern w:val="28"/>
      <w:sz w:val="56"/>
      <w:szCs w:val="56"/>
    </w:rPr>
  </w:style>
  <w:style w:type="character" w:customStyle="1" w:styleId="BulleteditemChar">
    <w:name w:val="Bulleted item Char"/>
    <w:basedOn w:val="DefaultParagraphFont"/>
    <w:link w:val="Bulleteditem"/>
    <w:rsid w:val="006F1147"/>
    <w:rPr>
      <w:rFonts w:ascii="Cambria" w:hAnsi="Cambria" w:cstheme="minorHAnsi"/>
      <w:sz w:val="24"/>
      <w:szCs w:val="24"/>
    </w:rPr>
  </w:style>
  <w:style w:type="character" w:customStyle="1" w:styleId="TitleChar">
    <w:name w:val="Title Char"/>
    <w:basedOn w:val="DefaultParagraphFont"/>
    <w:link w:val="Title"/>
    <w:uiPriority w:val="10"/>
    <w:rsid w:val="00181D1A"/>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133D91"/>
    <w:rPr>
      <w:color w:val="808080"/>
    </w:rPr>
  </w:style>
  <w:style w:type="table" w:styleId="GridTable4-Accent6">
    <w:name w:val="Grid Table 4 Accent 6"/>
    <w:basedOn w:val="TableNormal"/>
    <w:uiPriority w:val="49"/>
    <w:rsid w:val="00836CA3"/>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Listsubpara">
    <w:name w:val="List sub para"/>
    <w:basedOn w:val="Normal"/>
    <w:link w:val="ListsubparaChar"/>
    <w:qFormat/>
    <w:rsid w:val="00836CA3"/>
  </w:style>
  <w:style w:type="paragraph" w:customStyle="1" w:styleId="Listsubparagraph">
    <w:name w:val="List sub paragraph"/>
    <w:basedOn w:val="ListParagraph"/>
    <w:link w:val="ListsubparagraphChar"/>
    <w:qFormat/>
    <w:rsid w:val="00836CA3"/>
    <w:pPr>
      <w:numPr>
        <w:numId w:val="3"/>
      </w:numPr>
    </w:pPr>
  </w:style>
  <w:style w:type="character" w:customStyle="1" w:styleId="ListsubparaChar">
    <w:name w:val="List sub para Char"/>
    <w:basedOn w:val="DefaultParagraphFont"/>
    <w:link w:val="Listsubpara"/>
    <w:rsid w:val="00836CA3"/>
    <w:rPr>
      <w:rFonts w:asciiTheme="minorHAnsi" w:hAnsiTheme="minorHAnsi" w:cstheme="minorHAnsi"/>
      <w:sz w:val="24"/>
      <w:szCs w:val="24"/>
    </w:rPr>
  </w:style>
  <w:style w:type="paragraph" w:customStyle="1" w:styleId="Numberedlist">
    <w:name w:val="Numbered list"/>
    <w:basedOn w:val="Bulleteditem"/>
    <w:link w:val="NumberedlistChar"/>
    <w:qFormat/>
    <w:rsid w:val="006F335A"/>
    <w:pPr>
      <w:numPr>
        <w:numId w:val="4"/>
      </w:numPr>
      <w:spacing w:after="0"/>
      <w:ind w:left="0" w:firstLine="227"/>
      <w:contextualSpacing w:val="0"/>
    </w:pPr>
  </w:style>
  <w:style w:type="character" w:customStyle="1" w:styleId="ListParagraphChar">
    <w:name w:val="List Paragraph Char"/>
    <w:basedOn w:val="DefaultParagraphFont"/>
    <w:link w:val="ListParagraph"/>
    <w:rsid w:val="004B2DAE"/>
    <w:rPr>
      <w:rFonts w:ascii="Calibri" w:hAnsi="Calibri" w:cstheme="minorHAnsi"/>
      <w:b/>
      <w:sz w:val="24"/>
      <w:szCs w:val="24"/>
      <w:lang w:eastAsia="en-US"/>
    </w:rPr>
  </w:style>
  <w:style w:type="character" w:customStyle="1" w:styleId="ListsubparagraphChar">
    <w:name w:val="List sub paragraph Char"/>
    <w:basedOn w:val="ListParagraphChar"/>
    <w:link w:val="Listsubparagraph"/>
    <w:rsid w:val="00836CA3"/>
    <w:rPr>
      <w:rFonts w:ascii="Calibri" w:hAnsi="Calibri" w:cstheme="minorHAnsi"/>
      <w:b/>
      <w:sz w:val="24"/>
      <w:szCs w:val="24"/>
      <w:lang w:eastAsia="en-US"/>
    </w:rPr>
  </w:style>
  <w:style w:type="character" w:styleId="CommentReference">
    <w:name w:val="annotation reference"/>
    <w:basedOn w:val="DefaultParagraphFont"/>
    <w:uiPriority w:val="99"/>
    <w:semiHidden/>
    <w:unhideWhenUsed/>
    <w:rsid w:val="007105DE"/>
    <w:rPr>
      <w:sz w:val="16"/>
      <w:szCs w:val="16"/>
    </w:rPr>
  </w:style>
  <w:style w:type="character" w:customStyle="1" w:styleId="NumberedlistChar">
    <w:name w:val="Numbered list Char"/>
    <w:basedOn w:val="BulleteditemChar"/>
    <w:link w:val="Numberedlist"/>
    <w:rsid w:val="006F335A"/>
    <w:rPr>
      <w:rFonts w:ascii="Cambria" w:hAnsi="Cambria" w:cstheme="minorHAnsi"/>
      <w:sz w:val="24"/>
      <w:szCs w:val="24"/>
    </w:rPr>
  </w:style>
  <w:style w:type="paragraph" w:styleId="CommentText">
    <w:name w:val="annotation text"/>
    <w:basedOn w:val="Normal"/>
    <w:link w:val="CommentTextChar"/>
    <w:uiPriority w:val="99"/>
    <w:semiHidden/>
    <w:unhideWhenUsed/>
    <w:rsid w:val="007105DE"/>
    <w:rPr>
      <w:sz w:val="20"/>
      <w:szCs w:val="20"/>
    </w:rPr>
  </w:style>
  <w:style w:type="character" w:customStyle="1" w:styleId="CommentTextChar">
    <w:name w:val="Comment Text Char"/>
    <w:basedOn w:val="DefaultParagraphFont"/>
    <w:link w:val="CommentText"/>
    <w:uiPriority w:val="99"/>
    <w:semiHidden/>
    <w:rsid w:val="007105DE"/>
    <w:rPr>
      <w:rFonts w:ascii="Cambria" w:hAnsi="Cambria" w:cstheme="minorHAnsi"/>
    </w:rPr>
  </w:style>
  <w:style w:type="paragraph" w:styleId="CommentSubject">
    <w:name w:val="annotation subject"/>
    <w:basedOn w:val="CommentText"/>
    <w:next w:val="CommentText"/>
    <w:link w:val="CommentSubjectChar"/>
    <w:uiPriority w:val="99"/>
    <w:semiHidden/>
    <w:unhideWhenUsed/>
    <w:rsid w:val="007105DE"/>
    <w:rPr>
      <w:b/>
      <w:bCs/>
    </w:rPr>
  </w:style>
  <w:style w:type="character" w:customStyle="1" w:styleId="CommentSubjectChar">
    <w:name w:val="Comment Subject Char"/>
    <w:basedOn w:val="CommentTextChar"/>
    <w:link w:val="CommentSubject"/>
    <w:uiPriority w:val="99"/>
    <w:semiHidden/>
    <w:rsid w:val="007105DE"/>
    <w:rPr>
      <w:rFonts w:ascii="Cambria" w:hAnsi="Cambria" w:cstheme="minorHAnsi"/>
      <w:b/>
      <w:bCs/>
    </w:rPr>
  </w:style>
  <w:style w:type="paragraph" w:customStyle="1" w:styleId="Indentedparagraph">
    <w:name w:val="Indented paragraph"/>
    <w:basedOn w:val="Normal"/>
    <w:link w:val="IndentedparagraphChar"/>
    <w:qFormat/>
    <w:rsid w:val="00B20930"/>
    <w:pPr>
      <w:ind w:left="426"/>
    </w:pPr>
  </w:style>
  <w:style w:type="character" w:customStyle="1" w:styleId="IndentedparagraphChar">
    <w:name w:val="Indented paragraph Char"/>
    <w:basedOn w:val="DefaultParagraphFont"/>
    <w:link w:val="Indentedparagraph"/>
    <w:rsid w:val="00B20930"/>
    <w:rPr>
      <w:rFonts w:ascii="Cambria" w:hAnsi="Cambria" w:cstheme="minorHAnsi"/>
      <w:sz w:val="24"/>
      <w:szCs w:val="24"/>
    </w:rPr>
  </w:style>
  <w:style w:type="character" w:customStyle="1" w:styleId="il">
    <w:name w:val="il"/>
    <w:basedOn w:val="DefaultParagraphFont"/>
    <w:rsid w:val="002A7388"/>
  </w:style>
  <w:style w:type="paragraph" w:styleId="Revision">
    <w:name w:val="Revision"/>
    <w:hidden/>
    <w:uiPriority w:val="99"/>
    <w:semiHidden/>
    <w:rsid w:val="00F45D02"/>
    <w:rPr>
      <w:rFonts w:ascii="Cambria" w:hAnsi="Cambria" w:cstheme="minorHAnsi"/>
      <w:sz w:val="24"/>
      <w:szCs w:val="24"/>
    </w:rPr>
  </w:style>
  <w:style w:type="character" w:customStyle="1" w:styleId="Heading1Char">
    <w:name w:val="Heading 1 Char"/>
    <w:basedOn w:val="DefaultParagraphFont"/>
    <w:link w:val="Heading1"/>
    <w:uiPriority w:val="9"/>
    <w:rsid w:val="009B25E6"/>
    <w:rPr>
      <w:rFonts w:asciiTheme="majorHAnsi" w:eastAsiaTheme="majorEastAsia" w:hAnsiTheme="majorHAnsi" w:cstheme="majorBidi"/>
      <w:color w:val="2F5496" w:themeColor="accent1" w:themeShade="BF"/>
      <w:sz w:val="32"/>
      <w:szCs w:val="32"/>
    </w:rPr>
  </w:style>
  <w:style w:type="paragraph" w:customStyle="1" w:styleId="Heading">
    <w:name w:val="Heading"/>
    <w:basedOn w:val="Title"/>
    <w:link w:val="HeadingChar"/>
    <w:qFormat/>
    <w:rsid w:val="00B93265"/>
    <w:pPr>
      <w:widowControl w:val="0"/>
      <w:spacing w:after="120"/>
    </w:pPr>
    <w:rPr>
      <w:sz w:val="40"/>
    </w:rPr>
  </w:style>
  <w:style w:type="character" w:customStyle="1" w:styleId="HeadingChar">
    <w:name w:val="Heading Char"/>
    <w:basedOn w:val="TitleChar"/>
    <w:link w:val="Heading"/>
    <w:rsid w:val="00B93265"/>
    <w:rPr>
      <w:rFonts w:asciiTheme="majorHAnsi" w:eastAsiaTheme="majorEastAsia" w:hAnsiTheme="majorHAnsi" w:cstheme="majorBidi"/>
      <w:spacing w:val="-10"/>
      <w:kern w:val="28"/>
      <w:sz w:val="40"/>
      <w:szCs w:val="56"/>
    </w:rPr>
  </w:style>
  <w:style w:type="paragraph" w:customStyle="1" w:styleId="Subheading">
    <w:name w:val="Subheading"/>
    <w:basedOn w:val="Heading"/>
    <w:next w:val="Normal"/>
    <w:link w:val="SubheadingChar"/>
    <w:qFormat/>
    <w:rsid w:val="00A21A81"/>
    <w:pPr>
      <w:keepNext/>
      <w:spacing w:before="120" w:after="0"/>
    </w:pPr>
    <w:rPr>
      <w:sz w:val="32"/>
    </w:rPr>
  </w:style>
  <w:style w:type="character" w:customStyle="1" w:styleId="SubheadingChar">
    <w:name w:val="Subheading Char"/>
    <w:basedOn w:val="HeadingChar"/>
    <w:link w:val="Subheading"/>
    <w:rsid w:val="00A21A81"/>
    <w:rPr>
      <w:rFonts w:asciiTheme="majorHAnsi" w:eastAsiaTheme="majorEastAsia" w:hAnsiTheme="majorHAnsi" w:cstheme="majorBidi"/>
      <w:spacing w:val="-10"/>
      <w:kern w:val="28"/>
      <w:sz w:val="32"/>
      <w:szCs w:val="56"/>
    </w:rPr>
  </w:style>
  <w:style w:type="character" w:styleId="UnresolvedMention">
    <w:name w:val="Unresolved Mention"/>
    <w:basedOn w:val="DefaultParagraphFont"/>
    <w:uiPriority w:val="99"/>
    <w:semiHidden/>
    <w:unhideWhenUsed/>
    <w:rsid w:val="00510060"/>
    <w:rPr>
      <w:color w:val="605E5C"/>
      <w:shd w:val="clear" w:color="auto" w:fill="E1DFDD"/>
    </w:rPr>
  </w:style>
  <w:style w:type="character" w:customStyle="1" w:styleId="Heading2Char">
    <w:name w:val="Heading 2 Char"/>
    <w:basedOn w:val="DefaultParagraphFont"/>
    <w:link w:val="Heading2"/>
    <w:uiPriority w:val="9"/>
    <w:semiHidden/>
    <w:rsid w:val="00AF6604"/>
    <w:rPr>
      <w:rFonts w:asciiTheme="majorHAnsi" w:eastAsiaTheme="majorEastAsia" w:hAnsiTheme="majorHAnsi" w:cstheme="majorBidi"/>
      <w:color w:val="2F5496" w:themeColor="accent1" w:themeShade="BF"/>
      <w:sz w:val="26"/>
      <w:szCs w:val="26"/>
    </w:rPr>
  </w:style>
  <w:style w:type="table" w:styleId="TableGridLight">
    <w:name w:val="Grid Table Light"/>
    <w:basedOn w:val="TableNormal"/>
    <w:uiPriority w:val="40"/>
    <w:rsid w:val="0063007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ubtleEmphasis">
    <w:name w:val="Subtle Emphasis"/>
    <w:basedOn w:val="DefaultParagraphFont"/>
    <w:uiPriority w:val="19"/>
    <w:qFormat/>
    <w:rsid w:val="001651BF"/>
    <w:rPr>
      <w:i/>
      <w:iCs/>
      <w:color w:val="404040" w:themeColor="text1" w:themeTint="BF"/>
    </w:rPr>
  </w:style>
  <w:style w:type="character" w:customStyle="1" w:styleId="Heading4Char">
    <w:name w:val="Heading 4 Char"/>
    <w:basedOn w:val="DefaultParagraphFont"/>
    <w:link w:val="Heading4"/>
    <w:uiPriority w:val="9"/>
    <w:semiHidden/>
    <w:rsid w:val="006A685D"/>
    <w:rPr>
      <w:rFonts w:asciiTheme="majorHAnsi" w:eastAsiaTheme="majorEastAsia" w:hAnsiTheme="majorHAnsi" w:cstheme="majorBidi"/>
      <w:i/>
      <w:iCs/>
      <w:color w:val="2F5496" w:themeColor="accent1" w:themeShade="BF"/>
      <w:sz w:val="24"/>
      <w:szCs w:val="24"/>
    </w:rPr>
  </w:style>
  <w:style w:type="character" w:customStyle="1" w:styleId="Heading3Char">
    <w:name w:val="Heading 3 Char"/>
    <w:basedOn w:val="DefaultParagraphFont"/>
    <w:link w:val="Heading3"/>
    <w:uiPriority w:val="9"/>
    <w:semiHidden/>
    <w:rsid w:val="00A21A81"/>
    <w:rPr>
      <w:rFonts w:asciiTheme="majorHAnsi" w:eastAsiaTheme="majorEastAsia" w:hAnsiTheme="majorHAnsi" w:cstheme="majorBidi"/>
      <w:color w:val="1F3763" w:themeColor="accent1" w:themeShade="7F"/>
      <w:sz w:val="24"/>
      <w:szCs w:val="24"/>
    </w:rPr>
  </w:style>
  <w:style w:type="table" w:styleId="PlainTable1">
    <w:name w:val="Plain Table 1"/>
    <w:basedOn w:val="TableNormal"/>
    <w:uiPriority w:val="41"/>
    <w:rsid w:val="00D340A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ote">
    <w:name w:val="Quote"/>
    <w:basedOn w:val="Normal"/>
    <w:next w:val="Normal"/>
    <w:link w:val="QuoteChar"/>
    <w:uiPriority w:val="29"/>
    <w:qFormat/>
    <w:rsid w:val="00B13E6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13E61"/>
    <w:rPr>
      <w:rFonts w:ascii="Cambria" w:hAnsi="Cambria" w:cstheme="minorHAnsi"/>
      <w:i/>
      <w:iCs/>
      <w:color w:val="404040" w:themeColor="text1" w:themeTint="BF"/>
      <w:sz w:val="24"/>
      <w:szCs w:val="24"/>
    </w:rPr>
  </w:style>
  <w:style w:type="paragraph" w:customStyle="1" w:styleId="Bullet1">
    <w:name w:val="Bullet 1"/>
    <w:basedOn w:val="Normal"/>
    <w:link w:val="Bullet1Char"/>
    <w:qFormat/>
    <w:rsid w:val="006F335A"/>
    <w:pPr>
      <w:spacing w:after="0"/>
      <w:ind w:left="426" w:hanging="284"/>
    </w:pPr>
  </w:style>
  <w:style w:type="character" w:customStyle="1" w:styleId="Bullet1Char">
    <w:name w:val="Bullet 1 Char"/>
    <w:basedOn w:val="DefaultParagraphFont"/>
    <w:link w:val="Bullet1"/>
    <w:rsid w:val="006F335A"/>
    <w:rPr>
      <w:rFonts w:ascii="Cambria" w:hAnsi="Cambria" w:cs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93886">
      <w:bodyDiv w:val="1"/>
      <w:marLeft w:val="0"/>
      <w:marRight w:val="0"/>
      <w:marTop w:val="0"/>
      <w:marBottom w:val="0"/>
      <w:divBdr>
        <w:top w:val="none" w:sz="0" w:space="0" w:color="auto"/>
        <w:left w:val="none" w:sz="0" w:space="0" w:color="auto"/>
        <w:bottom w:val="none" w:sz="0" w:space="0" w:color="auto"/>
        <w:right w:val="none" w:sz="0" w:space="0" w:color="auto"/>
      </w:divBdr>
    </w:div>
    <w:div w:id="234629306">
      <w:bodyDiv w:val="1"/>
      <w:marLeft w:val="0"/>
      <w:marRight w:val="0"/>
      <w:marTop w:val="0"/>
      <w:marBottom w:val="0"/>
      <w:divBdr>
        <w:top w:val="none" w:sz="0" w:space="0" w:color="auto"/>
        <w:left w:val="none" w:sz="0" w:space="0" w:color="auto"/>
        <w:bottom w:val="none" w:sz="0" w:space="0" w:color="auto"/>
        <w:right w:val="none" w:sz="0" w:space="0" w:color="auto"/>
      </w:divBdr>
    </w:div>
    <w:div w:id="1554733769">
      <w:bodyDiv w:val="1"/>
      <w:marLeft w:val="0"/>
      <w:marRight w:val="0"/>
      <w:marTop w:val="0"/>
      <w:marBottom w:val="0"/>
      <w:divBdr>
        <w:top w:val="none" w:sz="0" w:space="0" w:color="auto"/>
        <w:left w:val="none" w:sz="0" w:space="0" w:color="auto"/>
        <w:bottom w:val="none" w:sz="0" w:space="0" w:color="auto"/>
        <w:right w:val="none" w:sz="0" w:space="0" w:color="auto"/>
      </w:divBdr>
    </w:div>
    <w:div w:id="186910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BF22A-F070-4905-B37B-4A69C0033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9</Pages>
  <Words>1277</Words>
  <Characters>7413</Characters>
  <Application>Microsoft Office Word</Application>
  <DocSecurity>0</DocSecurity>
  <Lines>529</Lines>
  <Paragraphs>482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matthew_phillips@hotmail.com</dc:creator>
  <cp:keywords>Minutes</cp:keywords>
  <dc:description/>
  <cp:lastModifiedBy>Matthew Phillips</cp:lastModifiedBy>
  <cp:revision>50</cp:revision>
  <cp:lastPrinted>2026-03-20T08:48:00Z</cp:lastPrinted>
  <dcterms:created xsi:type="dcterms:W3CDTF">2026-01-14T15:35:00Z</dcterms:created>
  <dcterms:modified xsi:type="dcterms:W3CDTF">2026-03-20T08:48:00Z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3622b745-2c89-4263-96bc-e85f1409e2f3</vt:lpwstr>
  </property>
</Properties>
</file>